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CEA2F" w14:textId="77777777" w:rsidR="009122E4" w:rsidRDefault="0023060D" w:rsidP="0023060D">
      <w:pPr>
        <w:pStyle w:val="Title"/>
      </w:pPr>
      <w:r>
        <w:t>Guide to weighting harmonized NYTS data for the 1999 and 2000 survey years</w:t>
      </w:r>
    </w:p>
    <w:p w14:paraId="3090E6B1" w14:textId="77777777" w:rsidR="0023060D" w:rsidRDefault="0023060D" w:rsidP="0023060D">
      <w:pPr>
        <w:pStyle w:val="Heading1"/>
      </w:pPr>
      <w:r>
        <w:t>Overview</w:t>
      </w:r>
    </w:p>
    <w:p w14:paraId="5885F7C4" w14:textId="66F833C7" w:rsidR="00657B7B" w:rsidRDefault="00657B7B" w:rsidP="00657B7B">
      <w:r>
        <w:t>The National Youth Tobacco Survey (NYTS</w:t>
      </w:r>
      <w:r w:rsidR="00BA7410">
        <w:t>)</w:t>
      </w:r>
      <w:r>
        <w:t xml:space="preserve"> is a survey of students in 6th through 12th grade. In the fall of 1999, the first year of NYTS data was fielded as a baseline; the 2000 NYTS was conducted in the spring of the same academic year. Since the 2000 survey, data have been collected approximately every other year. Because the survey uses a stratified cluster sampling design, survey weights and other design information are provided that allow for estimates that are representative of the national population of students. </w:t>
      </w:r>
    </w:p>
    <w:p w14:paraId="41EED111" w14:textId="0AD844B7" w:rsidR="0023060D" w:rsidRDefault="0023060D" w:rsidP="0023060D">
      <w:r>
        <w:t xml:space="preserve">The </w:t>
      </w:r>
      <w:r w:rsidR="00657B7B">
        <w:t>NYTS</w:t>
      </w:r>
      <w:r>
        <w:t xml:space="preserve"> weighting protocol changed between the 2000 and 2002 </w:t>
      </w:r>
      <w:r w:rsidR="00034BB1">
        <w:t>samples</w:t>
      </w:r>
      <w:r w:rsidR="00913AA1">
        <w:t>. A</w:t>
      </w:r>
      <w:r w:rsidR="00ED23CC">
        <w:t xml:space="preserve">nalyses must be adjusted in order to </w:t>
      </w:r>
      <w:r w:rsidR="00657B7B">
        <w:t xml:space="preserve">combine </w:t>
      </w:r>
      <w:r>
        <w:t xml:space="preserve">the </w:t>
      </w:r>
      <w:r w:rsidR="00ED23CC">
        <w:t xml:space="preserve">data from </w:t>
      </w:r>
      <w:r>
        <w:t xml:space="preserve">1999 or 2000 </w:t>
      </w:r>
      <w:r w:rsidR="00ED23CC">
        <w:t xml:space="preserve">with </w:t>
      </w:r>
      <w:r>
        <w:t>later years</w:t>
      </w:r>
      <w:r w:rsidR="00E910A9">
        <w:t>,</w:t>
      </w:r>
      <w:r w:rsidR="00913AA1">
        <w:t xml:space="preserve"> or to calculate </w:t>
      </w:r>
      <w:r w:rsidR="00913AA1" w:rsidRPr="00034BB1">
        <w:rPr>
          <w:i/>
        </w:rPr>
        <w:t>total</w:t>
      </w:r>
      <w:r w:rsidR="00A57F4A">
        <w:t xml:space="preserve"> population </w:t>
      </w:r>
      <w:r w:rsidR="00913AA1">
        <w:t>s</w:t>
      </w:r>
      <w:r w:rsidR="00A57F4A">
        <w:t>ize</w:t>
      </w:r>
      <w:r w:rsidR="00913AA1">
        <w:t xml:space="preserve"> for the</w:t>
      </w:r>
      <w:r w:rsidR="00657B7B">
        <w:t>se individual survey</w:t>
      </w:r>
      <w:r w:rsidR="00913AA1">
        <w:t xml:space="preserve"> years</w:t>
      </w:r>
      <w:r>
        <w:t>. This document provides context and guidance for researchers using the harmonized NYTS survey.</w:t>
      </w:r>
    </w:p>
    <w:p w14:paraId="3E619D90" w14:textId="5A460B70" w:rsidR="0023060D" w:rsidRDefault="0023060D" w:rsidP="0023060D">
      <w:r>
        <w:t xml:space="preserve">In the 1999 and 2000 </w:t>
      </w:r>
      <w:r w:rsidR="009D2EC1">
        <w:t>NYTS</w:t>
      </w:r>
      <w:r>
        <w:t xml:space="preserve"> </w:t>
      </w:r>
      <w:r w:rsidR="00034BB1">
        <w:t>samples</w:t>
      </w:r>
      <w:r>
        <w:t xml:space="preserve">, the weights were scaled so that the sum of all weights included would equal the sample size of the survey, while </w:t>
      </w:r>
      <w:r w:rsidR="00525D37">
        <w:t>surveys fielded in 2002 and later</w:t>
      </w:r>
      <w:r w:rsidR="00913AA1">
        <w:t xml:space="preserve"> were scaled to </w:t>
      </w:r>
      <w:r>
        <w:t xml:space="preserve">the total population </w:t>
      </w:r>
      <w:r w:rsidR="00ED23CC">
        <w:t>targeted by the survey</w:t>
      </w:r>
      <w:r w:rsidR="00913AA1">
        <w:t xml:space="preserve"> instead</w:t>
      </w:r>
      <w:r>
        <w:t xml:space="preserve">. Though this change does not affect </w:t>
      </w:r>
      <w:r w:rsidR="00657B7B">
        <w:t>calculated</w:t>
      </w:r>
      <w:r>
        <w:t xml:space="preserve"> proportions </w:t>
      </w:r>
      <w:r w:rsidR="00525D37">
        <w:t xml:space="preserve">using only </w:t>
      </w:r>
      <w:r>
        <w:t xml:space="preserve">a single year of data, </w:t>
      </w:r>
      <w:r w:rsidR="009C73D4">
        <w:t xml:space="preserve">it does affect </w:t>
      </w:r>
      <w:r w:rsidR="00657B7B">
        <w:t xml:space="preserve">analyses </w:t>
      </w:r>
      <w:r w:rsidR="009C73D4">
        <w:t xml:space="preserve">that </w:t>
      </w:r>
      <w:r w:rsidR="00E316CC">
        <w:t>combine</w:t>
      </w:r>
      <w:r w:rsidR="009C73D4">
        <w:t xml:space="preserve"> multiple years</w:t>
      </w:r>
      <w:r w:rsidR="00525D37">
        <w:t xml:space="preserve"> of data</w:t>
      </w:r>
      <w:r w:rsidR="009C73D4">
        <w:t xml:space="preserve"> </w:t>
      </w:r>
      <w:r w:rsidR="00034BB1">
        <w:t>across this change in scaling and</w:t>
      </w:r>
      <w:r w:rsidR="009C73D4">
        <w:t xml:space="preserve"> calculations of weighted totals</w:t>
      </w:r>
      <w:r w:rsidR="00034BB1">
        <w:t xml:space="preserve"> in these years</w:t>
      </w:r>
      <w:r w:rsidR="009C73D4">
        <w:t xml:space="preserve">. </w:t>
      </w:r>
      <w:r w:rsidR="00657B7B">
        <w:t>The provided weights in 1999 and 2000 can be made comparable to later years of the survey if</w:t>
      </w:r>
      <w:r w:rsidR="009C73D4">
        <w:t xml:space="preserve"> multiplied by a constant</w:t>
      </w:r>
      <w:r w:rsidR="00ED23CC">
        <w:t xml:space="preserve"> to scale them to the population size</w:t>
      </w:r>
      <w:r w:rsidR="009C73D4">
        <w:t>.</w:t>
      </w:r>
    </w:p>
    <w:p w14:paraId="41E673A2" w14:textId="77777777" w:rsidR="009C73D4" w:rsidRDefault="009C73D4" w:rsidP="009C73D4">
      <w:pPr>
        <w:pStyle w:val="Heading1"/>
      </w:pPr>
      <w:r>
        <w:t xml:space="preserve">Scaling </w:t>
      </w:r>
      <w:r w:rsidR="00A27435">
        <w:t xml:space="preserve">sample </w:t>
      </w:r>
      <w:r w:rsidR="009D2EC1">
        <w:t>w</w:t>
      </w:r>
      <w:r>
        <w:t>eights</w:t>
      </w:r>
    </w:p>
    <w:p w14:paraId="2038719A" w14:textId="50CF84BC" w:rsidR="00BF2426" w:rsidRDefault="00ED23CC" w:rsidP="00BF2426">
      <w:r>
        <w:t>S</w:t>
      </w:r>
      <w:r w:rsidR="009C73D4">
        <w:t xml:space="preserve">urvey weights </w:t>
      </w:r>
      <w:r w:rsidR="00A27435">
        <w:t xml:space="preserve">are </w:t>
      </w:r>
      <w:r>
        <w:t xml:space="preserve">commonly scaled to </w:t>
      </w:r>
      <w:r w:rsidR="009C73D4">
        <w:t>either the sample size or the population size. Scaling the weights to the sample size, as was done in the 1999 and 2000 NYTS, allows for easier comparisons of tot</w:t>
      </w:r>
      <w:r>
        <w:t>als to the original sample size. This may be helpful if</w:t>
      </w:r>
      <w:r w:rsidR="006043D1">
        <w:t>,</w:t>
      </w:r>
      <w:r w:rsidR="009C73D4">
        <w:t xml:space="preserve"> for example, </w:t>
      </w:r>
      <w:r>
        <w:t xml:space="preserve">an analyst wants </w:t>
      </w:r>
      <w:r w:rsidR="009C73D4">
        <w:t xml:space="preserve">to ensure that an estimate is based on a large enough number of responses. </w:t>
      </w:r>
      <w:r w:rsidR="009D2EC1">
        <w:t>Scaling the weights to the population size</w:t>
      </w:r>
      <w:r w:rsidR="00913AA1">
        <w:t>, on the other hand,</w:t>
      </w:r>
      <w:r w:rsidR="009D2EC1">
        <w:t xml:space="preserve"> allows for easier statements about the population at large</w:t>
      </w:r>
      <w:r w:rsidR="0006568C">
        <w:t xml:space="preserve">. </w:t>
      </w:r>
      <w:r w:rsidR="006043D1">
        <w:t>Rescaling t</w:t>
      </w:r>
      <w:r w:rsidR="003A6296">
        <w:t xml:space="preserve">he 1999 and 2000 NYTS requires </w:t>
      </w:r>
      <w:r w:rsidR="006043D1">
        <w:t xml:space="preserve">knowing </w:t>
      </w:r>
      <w:r w:rsidR="003A6296">
        <w:t>the target population size of the post-stratified dataset.</w:t>
      </w:r>
    </w:p>
    <w:p w14:paraId="306ADD90" w14:textId="77777777" w:rsidR="00BF2426" w:rsidRDefault="00BF2426" w:rsidP="00BF2426">
      <w:pPr>
        <w:pStyle w:val="Heading1"/>
      </w:pPr>
      <w:r>
        <w:t>Sources of population data for the NYTS</w:t>
      </w:r>
    </w:p>
    <w:p w14:paraId="1B4CEE51" w14:textId="54B8E7E1" w:rsidR="00BF2426" w:rsidRPr="00BF2426" w:rsidRDefault="009D2EC1" w:rsidP="00BF2426">
      <w:r w:rsidRPr="00BF2426">
        <w:rPr>
          <w:bCs/>
        </w:rPr>
        <w:t xml:space="preserve">The NYTS has used two different sources for population data on students since </w:t>
      </w:r>
      <w:r w:rsidR="00525D37" w:rsidRPr="00BF2426">
        <w:rPr>
          <w:bCs/>
        </w:rPr>
        <w:t>first being fielded</w:t>
      </w:r>
      <w:r w:rsidRPr="00BF2426">
        <w:rPr>
          <w:bCs/>
        </w:rPr>
        <w:t xml:space="preserve"> in 1999. This population data </w:t>
      </w:r>
      <w:r w:rsidR="003A6296" w:rsidRPr="00BF2426">
        <w:rPr>
          <w:bCs/>
        </w:rPr>
        <w:t>serves</w:t>
      </w:r>
      <w:r w:rsidR="00525D37" w:rsidRPr="00BF2426">
        <w:rPr>
          <w:bCs/>
        </w:rPr>
        <w:t xml:space="preserve"> two purposes: first, </w:t>
      </w:r>
      <w:r w:rsidRPr="00BF2426">
        <w:rPr>
          <w:bCs/>
        </w:rPr>
        <w:t xml:space="preserve">to create the sample frame </w:t>
      </w:r>
      <w:r w:rsidR="00913AA1" w:rsidRPr="00BF2426">
        <w:rPr>
          <w:bCs/>
        </w:rPr>
        <w:t xml:space="preserve">used to </w:t>
      </w:r>
      <w:r w:rsidRPr="00BF2426">
        <w:rPr>
          <w:bCs/>
        </w:rPr>
        <w:t>select</w:t>
      </w:r>
      <w:r w:rsidR="00913AA1" w:rsidRPr="00BF2426">
        <w:rPr>
          <w:bCs/>
        </w:rPr>
        <w:t xml:space="preserve"> students</w:t>
      </w:r>
      <w:r w:rsidR="00525D37" w:rsidRPr="00BF2426">
        <w:rPr>
          <w:bCs/>
        </w:rPr>
        <w:t>; second,</w:t>
      </w:r>
      <w:r w:rsidR="00913AA1" w:rsidRPr="00BF2426">
        <w:rPr>
          <w:bCs/>
        </w:rPr>
        <w:t xml:space="preserve"> </w:t>
      </w:r>
      <w:r w:rsidR="00525D37" w:rsidRPr="00BF2426">
        <w:rPr>
          <w:bCs/>
        </w:rPr>
        <w:t>to</w:t>
      </w:r>
      <w:r w:rsidRPr="00BF2426">
        <w:rPr>
          <w:bCs/>
        </w:rPr>
        <w:t xml:space="preserve"> post-stratify the sample to be representative of all students. From 1999 to 2006, the NYTS used data from the Quality Education Data </w:t>
      </w:r>
      <w:r w:rsidR="00A27435" w:rsidRPr="00BF2426">
        <w:rPr>
          <w:bCs/>
        </w:rPr>
        <w:t xml:space="preserve">(QED) </w:t>
      </w:r>
      <w:r w:rsidRPr="00BF2426">
        <w:rPr>
          <w:bCs/>
        </w:rPr>
        <w:t xml:space="preserve">database. </w:t>
      </w:r>
      <w:r w:rsidR="00525D37" w:rsidRPr="00BF2426">
        <w:rPr>
          <w:bCs/>
        </w:rPr>
        <w:t>Beginning in 2009</w:t>
      </w:r>
      <w:r w:rsidRPr="00BF2426">
        <w:rPr>
          <w:bCs/>
        </w:rPr>
        <w:t>, the data come from the National Center for Educational Statistics</w:t>
      </w:r>
      <w:r w:rsidR="00A27435" w:rsidRPr="00BF2426">
        <w:rPr>
          <w:bCs/>
        </w:rPr>
        <w:t xml:space="preserve"> (NCES)</w:t>
      </w:r>
      <w:r w:rsidRPr="00BF2426">
        <w:rPr>
          <w:bCs/>
        </w:rPr>
        <w:t xml:space="preserve">. </w:t>
      </w:r>
      <w:r w:rsidR="00B62C80" w:rsidRPr="00BF2426">
        <w:rPr>
          <w:bCs/>
        </w:rPr>
        <w:t xml:space="preserve">Because </w:t>
      </w:r>
      <w:r w:rsidR="00A27435" w:rsidRPr="00BF2426">
        <w:rPr>
          <w:bCs/>
        </w:rPr>
        <w:t xml:space="preserve">the QED data </w:t>
      </w:r>
      <w:r w:rsidR="003A6296" w:rsidRPr="00BF2426">
        <w:rPr>
          <w:bCs/>
        </w:rPr>
        <w:t>are not publicly</w:t>
      </w:r>
      <w:r w:rsidR="00A27435" w:rsidRPr="00BF2426">
        <w:rPr>
          <w:bCs/>
        </w:rPr>
        <w:t xml:space="preserve"> </w:t>
      </w:r>
      <w:r w:rsidR="00A27435" w:rsidRPr="00BF2426">
        <w:rPr>
          <w:bCs/>
        </w:rPr>
        <w:lastRenderedPageBreak/>
        <w:t xml:space="preserve">available, </w:t>
      </w:r>
      <w:r w:rsidR="00B62C80" w:rsidRPr="00BF2426">
        <w:rPr>
          <w:bCs/>
        </w:rPr>
        <w:t>we estimate the target population size</w:t>
      </w:r>
      <w:r w:rsidR="00B1502D" w:rsidRPr="00BF2426">
        <w:rPr>
          <w:bCs/>
        </w:rPr>
        <w:t xml:space="preserve"> for the 1999 and 2000 NYTS samples</w:t>
      </w:r>
      <w:r w:rsidR="00B62C80" w:rsidRPr="00BF2426">
        <w:rPr>
          <w:bCs/>
        </w:rPr>
        <w:t xml:space="preserve"> using </w:t>
      </w:r>
      <w:r w:rsidR="00A27435" w:rsidRPr="00BF2426">
        <w:rPr>
          <w:bCs/>
        </w:rPr>
        <w:t>the NCES data</w:t>
      </w:r>
      <w:r w:rsidR="003A6296" w:rsidRPr="00BF2426">
        <w:rPr>
          <w:bCs/>
        </w:rPr>
        <w:t>set</w:t>
      </w:r>
      <w:r w:rsidR="00A27435" w:rsidRPr="00BF2426">
        <w:rPr>
          <w:bCs/>
        </w:rPr>
        <w:t>.</w:t>
      </w:r>
      <w:r w:rsidR="003A6296" w:rsidRPr="00BF2426">
        <w:rPr>
          <w:bCs/>
        </w:rPr>
        <w:t xml:space="preserve"> </w:t>
      </w:r>
    </w:p>
    <w:p w14:paraId="52D6EEFE" w14:textId="3F9391CB" w:rsidR="00A11AA0" w:rsidRDefault="00A11AA0" w:rsidP="00A11AA0">
      <w:pPr>
        <w:pStyle w:val="Heading1"/>
      </w:pPr>
      <w:r>
        <w:t>Calculating the NYTS total population</w:t>
      </w:r>
      <w:r w:rsidR="00AA5FB0">
        <w:t xml:space="preserve"> from NCES Data</w:t>
      </w:r>
    </w:p>
    <w:p w14:paraId="0B2F002F" w14:textId="0B87EB5D" w:rsidR="0088763B" w:rsidRDefault="00A73CFC" w:rsidP="0088763B">
      <w:r>
        <w:t>The 2011 NYTS methodology documentation includes detailed information on raw counts of schools and students used in post-stratification adjustments</w:t>
      </w:r>
      <w:r w:rsidR="00692190">
        <w:t>, making it a good test case for replication</w:t>
      </w:r>
      <w:r>
        <w:t xml:space="preserve">. </w:t>
      </w:r>
      <w:r w:rsidR="001D0617">
        <w:t>Using the NCES data</w:t>
      </w:r>
      <w:r w:rsidR="003A6296">
        <w:t>,</w:t>
      </w:r>
      <w:r w:rsidR="001D0617">
        <w:t xml:space="preserve"> we </w:t>
      </w:r>
      <w:r w:rsidR="00707416">
        <w:t xml:space="preserve">first </w:t>
      </w:r>
      <w:r w:rsidR="00692190">
        <w:t xml:space="preserve">estimate </w:t>
      </w:r>
      <w:r w:rsidR="00707416">
        <w:t xml:space="preserve">the </w:t>
      </w:r>
      <w:r w:rsidR="00692190">
        <w:t xml:space="preserve">total population </w:t>
      </w:r>
      <w:r w:rsidR="00063855">
        <w:t>targeted by</w:t>
      </w:r>
      <w:r w:rsidR="00707416">
        <w:t xml:space="preserve"> the </w:t>
      </w:r>
      <w:r w:rsidR="00692190">
        <w:t xml:space="preserve">2011 </w:t>
      </w:r>
      <w:r w:rsidR="00063855">
        <w:t>NYTS</w:t>
      </w:r>
      <w:r w:rsidR="00707416">
        <w:t xml:space="preserve">. </w:t>
      </w:r>
      <w:r w:rsidR="00814B39">
        <w:t xml:space="preserve"> </w:t>
      </w:r>
      <w:r w:rsidR="00742433">
        <w:t xml:space="preserve">As outlined by the 2011 </w:t>
      </w:r>
      <w:r w:rsidR="00063855">
        <w:t xml:space="preserve">NYTS </w:t>
      </w:r>
      <w:r w:rsidR="00742433">
        <w:t xml:space="preserve">methodology report, we </w:t>
      </w:r>
      <w:r w:rsidR="007F2566">
        <w:t xml:space="preserve">use </w:t>
      </w:r>
      <w:r w:rsidR="00B1502D">
        <w:t xml:space="preserve">NCES </w:t>
      </w:r>
      <w:r w:rsidR="007F2566">
        <w:t xml:space="preserve">data from </w:t>
      </w:r>
      <w:r w:rsidR="005B377E">
        <w:t xml:space="preserve">the </w:t>
      </w:r>
      <w:r w:rsidR="00B1502D">
        <w:t xml:space="preserve">most recent academic year that precedes </w:t>
      </w:r>
      <w:r w:rsidR="00A757B0">
        <w:t>the 2011 NYTS:</w:t>
      </w:r>
      <w:r w:rsidR="00B1502D">
        <w:t xml:space="preserve"> </w:t>
      </w:r>
      <w:r w:rsidR="007F2566">
        <w:t>the 2009-2010 Common Core Data Public Elementary/Secondary School Universe data</w:t>
      </w:r>
      <w:r w:rsidR="00063855">
        <w:t>,</w:t>
      </w:r>
      <w:r w:rsidR="007F2566">
        <w:t xml:space="preserve"> and the 2007-2008 Private School Universe Survey</w:t>
      </w:r>
      <w:r w:rsidR="00A757B0">
        <w:t xml:space="preserve">. </w:t>
      </w:r>
      <w:r w:rsidR="00742433">
        <w:t xml:space="preserve">After </w:t>
      </w:r>
      <w:r w:rsidR="007F2566">
        <w:t>restrict</w:t>
      </w:r>
      <w:r w:rsidR="00742433">
        <w:t>ing</w:t>
      </w:r>
      <w:r w:rsidR="007F2566">
        <w:t xml:space="preserve"> </w:t>
      </w:r>
      <w:r w:rsidR="00692190">
        <w:t>the data to</w:t>
      </w:r>
      <w:r w:rsidR="007F2566">
        <w:t xml:space="preserve"> only </w:t>
      </w:r>
      <w:r w:rsidR="00692190">
        <w:t xml:space="preserve">include </w:t>
      </w:r>
      <w:r w:rsidR="007F2566">
        <w:t>"regular"</w:t>
      </w:r>
      <w:r w:rsidR="00AA5FB0">
        <w:rPr>
          <w:rStyle w:val="FootnoteReference"/>
        </w:rPr>
        <w:footnoteReference w:id="1"/>
      </w:r>
      <w:r w:rsidR="007F2566">
        <w:t xml:space="preserve"> schools</w:t>
      </w:r>
      <w:r w:rsidR="00692190">
        <w:t>,</w:t>
      </w:r>
      <w:r w:rsidR="007F2566">
        <w:t xml:space="preserve"> </w:t>
      </w:r>
      <w:r w:rsidR="00742433">
        <w:t>we</w:t>
      </w:r>
      <w:r w:rsidR="007F2566">
        <w:t xml:space="preserve"> sum the total of 6th through 12th grade students. </w:t>
      </w:r>
      <w:r w:rsidR="0088763B">
        <w:t xml:space="preserve">Table 1 compares the population total from the 2011 </w:t>
      </w:r>
      <w:r w:rsidR="00063855">
        <w:t xml:space="preserve">NYTS </w:t>
      </w:r>
      <w:r w:rsidR="0088763B">
        <w:t xml:space="preserve">methodology report </w:t>
      </w:r>
      <w:r w:rsidR="00063855">
        <w:t>with both</w:t>
      </w:r>
      <w:r w:rsidR="0088763B">
        <w:t xml:space="preserve"> the MPC calculation and the sum of the weights in the</w:t>
      </w:r>
      <w:r w:rsidR="00063855">
        <w:t xml:space="preserve"> public use 2011</w:t>
      </w:r>
      <w:r w:rsidR="0088763B">
        <w:t xml:space="preserve"> NYTS data. The calculated estimate from the MPC team matches that from the 2011 NYTS methodology report</w:t>
      </w:r>
      <w:r w:rsidR="00063855">
        <w:t xml:space="preserve"> exactly</w:t>
      </w:r>
      <w:r w:rsidR="0088763B">
        <w:t xml:space="preserve">, </w:t>
      </w:r>
      <w:r w:rsidR="005B377E">
        <w:t>and</w:t>
      </w:r>
      <w:r w:rsidR="0088763B">
        <w:t xml:space="preserve"> differs </w:t>
      </w:r>
      <w:r w:rsidR="005B377E">
        <w:t xml:space="preserve">only </w:t>
      </w:r>
      <w:r w:rsidR="0088763B">
        <w:t>slightly from the sum of the weights in the</w:t>
      </w:r>
      <w:r w:rsidR="00063855">
        <w:t xml:space="preserve"> public use</w:t>
      </w:r>
      <w:r w:rsidR="0088763B">
        <w:t xml:space="preserve"> 2011 NYTS</w:t>
      </w:r>
      <w:r w:rsidR="00063855">
        <w:t xml:space="preserve"> data</w:t>
      </w:r>
      <w:r w:rsidR="0088763B">
        <w:t>. This difference is likely due to sample weight trimming by the NYTS</w:t>
      </w:r>
      <w:r w:rsidR="0088763B">
        <w:rPr>
          <w:rStyle w:val="FootnoteReference"/>
        </w:rPr>
        <w:footnoteReference w:id="2"/>
      </w:r>
      <w:r w:rsidR="0088763B">
        <w:t>.</w:t>
      </w:r>
    </w:p>
    <w:p w14:paraId="2526C0CD" w14:textId="77777777" w:rsidR="0088763B" w:rsidRPr="00E53CE3" w:rsidRDefault="0088763B" w:rsidP="0088763B">
      <w:pPr>
        <w:rPr>
          <w:b/>
        </w:rPr>
      </w:pPr>
      <w:r>
        <w:rPr>
          <w:b/>
        </w:rPr>
        <w:t>Table 1: Population estimates for NYTS 2011</w:t>
      </w:r>
    </w:p>
    <w:tbl>
      <w:tblPr>
        <w:tblStyle w:val="LightShading"/>
        <w:tblW w:w="3600" w:type="dxa"/>
        <w:tblLook w:val="0480" w:firstRow="0" w:lastRow="0" w:firstColumn="1" w:lastColumn="0" w:noHBand="0" w:noVBand="1"/>
      </w:tblPr>
      <w:tblGrid>
        <w:gridCol w:w="2088"/>
        <w:gridCol w:w="1512"/>
      </w:tblGrid>
      <w:tr w:rsidR="0088763B" w:rsidRPr="00E316CC" w14:paraId="61F5826F" w14:textId="77777777" w:rsidTr="004809E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088" w:type="dxa"/>
            <w:hideMark/>
          </w:tcPr>
          <w:p w14:paraId="5ABF3503" w14:textId="77777777" w:rsidR="0088763B" w:rsidRPr="00E316CC" w:rsidRDefault="0088763B" w:rsidP="004809E7">
            <w:pPr>
              <w:rPr>
                <w:rFonts w:ascii="Calibri" w:eastAsia="Times New Roman" w:hAnsi="Calibri" w:cs="Times New Roman"/>
                <w:color w:val="000000"/>
              </w:rPr>
            </w:pPr>
            <w:r w:rsidRPr="00E316CC">
              <w:rPr>
                <w:rFonts w:ascii="Calibri" w:eastAsia="Times New Roman" w:hAnsi="Calibri" w:cs="Times New Roman"/>
                <w:color w:val="000000"/>
              </w:rPr>
              <w:t>Population calculated by MPC</w:t>
            </w:r>
            <w:r>
              <w:rPr>
                <w:rStyle w:val="FootnoteReference"/>
                <w:rFonts w:ascii="Calibri" w:eastAsia="Times New Roman" w:hAnsi="Calibri" w:cs="Times New Roman"/>
                <w:color w:val="000000"/>
              </w:rPr>
              <w:footnoteReference w:id="3"/>
            </w:r>
          </w:p>
        </w:tc>
        <w:tc>
          <w:tcPr>
            <w:tcW w:w="1512" w:type="dxa"/>
            <w:noWrap/>
            <w:hideMark/>
          </w:tcPr>
          <w:p w14:paraId="7461AB4C" w14:textId="77777777" w:rsidR="0088763B" w:rsidRPr="00E316CC" w:rsidRDefault="0088763B" w:rsidP="004809E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16CC">
              <w:rPr>
                <w:rFonts w:ascii="Calibri" w:eastAsia="Times New Roman" w:hAnsi="Calibri" w:cs="Times New Roman"/>
                <w:color w:val="000000"/>
              </w:rPr>
              <w:t>27,395,817</w:t>
            </w:r>
          </w:p>
        </w:tc>
      </w:tr>
      <w:tr w:rsidR="0088763B" w:rsidRPr="00E316CC" w14:paraId="6BAA8C6E" w14:textId="77777777" w:rsidTr="004809E7">
        <w:trPr>
          <w:trHeight w:val="900"/>
        </w:trPr>
        <w:tc>
          <w:tcPr>
            <w:cnfStyle w:val="001000000000" w:firstRow="0" w:lastRow="0" w:firstColumn="1" w:lastColumn="0" w:oddVBand="0" w:evenVBand="0" w:oddHBand="0" w:evenHBand="0" w:firstRowFirstColumn="0" w:firstRowLastColumn="0" w:lastRowFirstColumn="0" w:lastRowLastColumn="0"/>
            <w:tcW w:w="2088" w:type="dxa"/>
            <w:hideMark/>
          </w:tcPr>
          <w:p w14:paraId="2299D808" w14:textId="1739BA21" w:rsidR="0088763B" w:rsidRPr="00E316CC" w:rsidRDefault="0088763B" w:rsidP="00A54772">
            <w:pPr>
              <w:rPr>
                <w:rFonts w:ascii="Calibri" w:eastAsia="Times New Roman" w:hAnsi="Calibri" w:cs="Times New Roman"/>
                <w:color w:val="000000"/>
              </w:rPr>
            </w:pPr>
            <w:r w:rsidRPr="00E316CC">
              <w:rPr>
                <w:rFonts w:ascii="Calibri" w:eastAsia="Times New Roman" w:hAnsi="Calibri" w:cs="Times New Roman"/>
                <w:color w:val="000000"/>
              </w:rPr>
              <w:t xml:space="preserve">Population from </w:t>
            </w:r>
            <w:r>
              <w:rPr>
                <w:rFonts w:ascii="Calibri" w:eastAsia="Times New Roman" w:hAnsi="Calibri" w:cs="Times New Roman"/>
                <w:color w:val="000000"/>
              </w:rPr>
              <w:t xml:space="preserve">2011 </w:t>
            </w:r>
            <w:r w:rsidR="00A54772">
              <w:rPr>
                <w:rFonts w:ascii="Calibri" w:eastAsia="Times New Roman" w:hAnsi="Calibri" w:cs="Times New Roman"/>
                <w:color w:val="000000"/>
              </w:rPr>
              <w:t>Methodology</w:t>
            </w:r>
          </w:p>
        </w:tc>
        <w:tc>
          <w:tcPr>
            <w:tcW w:w="1512" w:type="dxa"/>
            <w:noWrap/>
            <w:hideMark/>
          </w:tcPr>
          <w:p w14:paraId="0301807A" w14:textId="77777777" w:rsidR="0088763B" w:rsidRPr="00E316CC" w:rsidRDefault="0088763B" w:rsidP="004809E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16CC">
              <w:rPr>
                <w:rFonts w:ascii="Calibri" w:eastAsia="Times New Roman" w:hAnsi="Calibri" w:cs="Times New Roman"/>
                <w:color w:val="000000"/>
              </w:rPr>
              <w:t>27,395,817</w:t>
            </w:r>
          </w:p>
        </w:tc>
      </w:tr>
      <w:tr w:rsidR="0088763B" w:rsidRPr="00E316CC" w14:paraId="19FFEBC5" w14:textId="77777777" w:rsidTr="004809E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088" w:type="dxa"/>
            <w:hideMark/>
          </w:tcPr>
          <w:p w14:paraId="08DA3614" w14:textId="77777777" w:rsidR="0088763B" w:rsidRPr="00E316CC" w:rsidRDefault="0088763B" w:rsidP="004809E7">
            <w:pPr>
              <w:rPr>
                <w:rFonts w:ascii="Calibri" w:eastAsia="Times New Roman" w:hAnsi="Calibri" w:cs="Times New Roman"/>
                <w:color w:val="000000"/>
              </w:rPr>
            </w:pPr>
            <w:r w:rsidRPr="00E316CC">
              <w:rPr>
                <w:rFonts w:ascii="Calibri" w:eastAsia="Times New Roman" w:hAnsi="Calibri" w:cs="Times New Roman"/>
                <w:color w:val="000000"/>
              </w:rPr>
              <w:t xml:space="preserve">Sum of NYTS </w:t>
            </w:r>
            <w:r>
              <w:rPr>
                <w:rFonts w:ascii="Calibri" w:eastAsia="Times New Roman" w:hAnsi="Calibri" w:cs="Times New Roman"/>
                <w:color w:val="000000"/>
              </w:rPr>
              <w:t xml:space="preserve">2011 </w:t>
            </w:r>
            <w:r w:rsidRPr="00E316CC">
              <w:rPr>
                <w:rFonts w:ascii="Calibri" w:eastAsia="Times New Roman" w:hAnsi="Calibri" w:cs="Times New Roman"/>
                <w:color w:val="000000"/>
              </w:rPr>
              <w:t>weights</w:t>
            </w:r>
          </w:p>
        </w:tc>
        <w:tc>
          <w:tcPr>
            <w:tcW w:w="1512" w:type="dxa"/>
            <w:noWrap/>
            <w:hideMark/>
          </w:tcPr>
          <w:p w14:paraId="365946DA" w14:textId="77777777" w:rsidR="0088763B" w:rsidRPr="00E316CC" w:rsidRDefault="0088763B" w:rsidP="004809E7">
            <w:pPr>
              <w:ind w:left="720" w:hanging="7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16CC">
              <w:rPr>
                <w:rFonts w:ascii="Calibri" w:eastAsia="Times New Roman" w:hAnsi="Calibri" w:cs="Times New Roman"/>
                <w:color w:val="000000"/>
              </w:rPr>
              <w:t>27,394,239</w:t>
            </w:r>
          </w:p>
        </w:tc>
      </w:tr>
    </w:tbl>
    <w:p w14:paraId="4B049E05" w14:textId="77777777" w:rsidR="0088763B" w:rsidRDefault="0088763B" w:rsidP="009D2EC1"/>
    <w:p w14:paraId="59A59D76" w14:textId="7CD388EB" w:rsidR="00A11AA0" w:rsidRDefault="00A54772" w:rsidP="0088763B">
      <w:r>
        <w:t>After confirming that our total count of students exactly match those in the 2011 NYTS methodology report</w:t>
      </w:r>
      <w:r>
        <w:rPr>
          <w:rStyle w:val="FootnoteReference"/>
        </w:rPr>
        <w:footnoteReference w:id="4"/>
      </w:r>
      <w:r>
        <w:t>, we may employ the same approach for the 1999 and 2000 NYTS samples</w:t>
      </w:r>
      <w:r w:rsidR="00184F12">
        <w:t>. While this is likely not the</w:t>
      </w:r>
      <w:r w:rsidR="005B377E">
        <w:t xml:space="preserve"> precise</w:t>
      </w:r>
      <w:r w:rsidR="00184F12">
        <w:t xml:space="preserve"> methodology employed originally when NYTS was using the QED data, we are confident</w:t>
      </w:r>
      <w:r>
        <w:t xml:space="preserve"> that </w:t>
      </w:r>
      <w:r w:rsidR="00184F12">
        <w:t>our</w:t>
      </w:r>
      <w:r>
        <w:t xml:space="preserve"> estimates are comparable with </w:t>
      </w:r>
      <w:r w:rsidR="00184F12">
        <w:t xml:space="preserve">the </w:t>
      </w:r>
      <w:r>
        <w:t xml:space="preserve">approach and data sources used in 2009-forward NYTS samples. </w:t>
      </w:r>
      <w:r w:rsidR="00702737">
        <w:t xml:space="preserve">Because the 1999 and 2000 NYTS were fielded in the same academic </w:t>
      </w:r>
      <w:r w:rsidR="00707416">
        <w:t>year</w:t>
      </w:r>
      <w:r w:rsidR="007F2566">
        <w:t xml:space="preserve">, </w:t>
      </w:r>
      <w:r w:rsidR="00702737">
        <w:t xml:space="preserve">the </w:t>
      </w:r>
      <w:r w:rsidR="00B1502D">
        <w:t xml:space="preserve">total </w:t>
      </w:r>
      <w:r w:rsidR="00702737">
        <w:t>population size wil</w:t>
      </w:r>
      <w:r w:rsidR="0088763B">
        <w:t xml:space="preserve">l </w:t>
      </w:r>
      <w:r w:rsidR="0088763B">
        <w:lastRenderedPageBreak/>
        <w:t>be the same for both samples.</w:t>
      </w:r>
      <w:r w:rsidR="00702737">
        <w:t xml:space="preserve"> </w:t>
      </w:r>
      <w:r w:rsidR="0088763B">
        <w:t>W</w:t>
      </w:r>
      <w:r w:rsidR="00702737">
        <w:t xml:space="preserve">e use </w:t>
      </w:r>
      <w:r w:rsidR="007F2566">
        <w:t xml:space="preserve">public school data from 1998-1999 </w:t>
      </w:r>
      <w:r w:rsidR="00692190">
        <w:t>academic year</w:t>
      </w:r>
      <w:r w:rsidR="00702737">
        <w:t xml:space="preserve">, </w:t>
      </w:r>
      <w:r w:rsidR="007F2566">
        <w:t xml:space="preserve">and private school data from </w:t>
      </w:r>
      <w:r w:rsidR="00702737">
        <w:t xml:space="preserve">the </w:t>
      </w:r>
      <w:r w:rsidR="00614BBD">
        <w:t>1997-1998</w:t>
      </w:r>
      <w:r w:rsidR="005B377E">
        <w:t xml:space="preserve"> </w:t>
      </w:r>
      <w:r w:rsidR="00702737">
        <w:t xml:space="preserve">academic year </w:t>
      </w:r>
      <w:r w:rsidR="0088763B">
        <w:t>as these are the most recent NCES data preceding the 1999 and 2000 NYTS samples</w:t>
      </w:r>
      <w:r w:rsidR="00CB2F58">
        <w:t>. We</w:t>
      </w:r>
      <w:r w:rsidR="00707416">
        <w:t xml:space="preserve"> </w:t>
      </w:r>
      <w:r w:rsidR="001D0617">
        <w:t>estimate the population size</w:t>
      </w:r>
      <w:r w:rsidR="003A6296">
        <w:t xml:space="preserve"> of the NYTS</w:t>
      </w:r>
      <w:r w:rsidR="001D0617">
        <w:t xml:space="preserve"> in the 1999-2000</w:t>
      </w:r>
      <w:r w:rsidR="005007AE">
        <w:t xml:space="preserve"> </w:t>
      </w:r>
      <w:r w:rsidR="001D0617">
        <w:t xml:space="preserve">school year </w:t>
      </w:r>
      <w:r w:rsidR="00707416">
        <w:t>to be</w:t>
      </w:r>
      <w:r w:rsidR="00614BBD">
        <w:t xml:space="preserve"> </w:t>
      </w:r>
      <w:r w:rsidR="00614BBD" w:rsidRPr="00614BBD">
        <w:t>25,336,606</w:t>
      </w:r>
      <w:r w:rsidR="001D0617">
        <w:t xml:space="preserve">. </w:t>
      </w:r>
    </w:p>
    <w:p w14:paraId="41968AD0" w14:textId="06502CC1" w:rsidR="00A11AA0" w:rsidRDefault="002E3F8C" w:rsidP="00A11AA0">
      <w:pPr>
        <w:pStyle w:val="Heading1"/>
      </w:pPr>
      <w:r>
        <w:t>Validity of Population Estimates</w:t>
      </w:r>
    </w:p>
    <w:p w14:paraId="70AA63E4" w14:textId="4D4F7EDF" w:rsidR="00D64552" w:rsidRDefault="00F255B0" w:rsidP="00D64552">
      <w:r>
        <w:t xml:space="preserve">Because </w:t>
      </w:r>
      <w:r w:rsidR="00B4446D">
        <w:t>the MPC</w:t>
      </w:r>
      <w:r w:rsidR="00707416">
        <w:t xml:space="preserve"> calculation is based on the NCES data, which was not used to establish the total population in the 1999-2006 iterations of the NYTS</w:t>
      </w:r>
      <w:r w:rsidR="00CB2F58">
        <w:t>,</w:t>
      </w:r>
      <w:r>
        <w:t xml:space="preserve"> it</w:t>
      </w:r>
      <w:r w:rsidR="00707416">
        <w:t xml:space="preserve"> </w:t>
      </w:r>
      <w:r w:rsidR="002C28D2">
        <w:t xml:space="preserve">may </w:t>
      </w:r>
      <w:r w:rsidR="00B4446D">
        <w:t>bias</w:t>
      </w:r>
      <w:r w:rsidR="002C28D2">
        <w:t xml:space="preserve"> the population size</w:t>
      </w:r>
      <w:r w:rsidR="00913AA1">
        <w:t xml:space="preserve"> relative to the population calculated </w:t>
      </w:r>
      <w:r w:rsidR="0088763B">
        <w:t>by the QED data in these early</w:t>
      </w:r>
      <w:r w:rsidR="00913AA1">
        <w:t xml:space="preserve"> years.</w:t>
      </w:r>
      <w:r w:rsidR="002C28D2">
        <w:t xml:space="preserve"> </w:t>
      </w:r>
      <w:r w:rsidR="00D64552">
        <w:t xml:space="preserve">Table 2 compares the sum of weights from the </w:t>
      </w:r>
      <w:r w:rsidR="00AB1BCE">
        <w:t xml:space="preserve">public use </w:t>
      </w:r>
      <w:r w:rsidR="00D64552">
        <w:t xml:space="preserve">NYTS </w:t>
      </w:r>
      <w:r w:rsidR="00B4446D">
        <w:t xml:space="preserve">data </w:t>
      </w:r>
      <w:r w:rsidR="00313B3F">
        <w:t>(</w:t>
      </w:r>
      <w:r w:rsidR="00D64552">
        <w:t>based on the private QED dataset</w:t>
      </w:r>
      <w:r w:rsidR="00313B3F">
        <w:t>)</w:t>
      </w:r>
      <w:r w:rsidR="00D64552">
        <w:t xml:space="preserve"> with population estimates calculated by the MPC team using NCES data as outlined above. The differences in calculations for the 2002, 2004, and 2006 samples provide context for</w:t>
      </w:r>
      <w:r w:rsidR="001B4D99">
        <w:t xml:space="preserve"> the scale of</w:t>
      </w:r>
      <w:r w:rsidR="00D64552">
        <w:t xml:space="preserve"> differences</w:t>
      </w:r>
      <w:r w:rsidR="001B4D99">
        <w:t xml:space="preserve"> between our estimated total population</w:t>
      </w:r>
      <w:r w:rsidR="00D64552">
        <w:t xml:space="preserve"> in the 1999 and 2000 NYTS</w:t>
      </w:r>
      <w:r w:rsidR="00801895">
        <w:t>,</w:t>
      </w:r>
      <w:r w:rsidR="001B4D99">
        <w:t xml:space="preserve"> and the target population actually used by NYTS</w:t>
      </w:r>
      <w:r w:rsidR="00D64552">
        <w:t xml:space="preserve"> that we cannot measure. </w:t>
      </w:r>
    </w:p>
    <w:p w14:paraId="53C7142B" w14:textId="77777777" w:rsidR="00D64552" w:rsidRPr="005007AE" w:rsidRDefault="00D64552" w:rsidP="00D64552">
      <w:pPr>
        <w:rPr>
          <w:rStyle w:val="Emphasis"/>
          <w:b/>
          <w:i w:val="0"/>
        </w:rPr>
      </w:pPr>
      <w:r w:rsidRPr="005007AE">
        <w:rPr>
          <w:rStyle w:val="Emphasis"/>
          <w:b/>
          <w:i w:val="0"/>
        </w:rPr>
        <w:t xml:space="preserve">Table </w:t>
      </w:r>
      <w:r>
        <w:rPr>
          <w:rStyle w:val="Emphasis"/>
          <w:b/>
          <w:i w:val="0"/>
        </w:rPr>
        <w:t>2</w:t>
      </w:r>
      <w:r w:rsidRPr="005007AE">
        <w:rPr>
          <w:rStyle w:val="Emphasis"/>
          <w:b/>
          <w:i w:val="0"/>
        </w:rPr>
        <w:t>: Comparison of Population Estimates for 2002-2006</w:t>
      </w:r>
    </w:p>
    <w:tbl>
      <w:tblPr>
        <w:tblStyle w:val="LightShading"/>
        <w:tblW w:w="8478" w:type="dxa"/>
        <w:tblLook w:val="04A0" w:firstRow="1" w:lastRow="0" w:firstColumn="1" w:lastColumn="0" w:noHBand="0" w:noVBand="1"/>
      </w:tblPr>
      <w:tblGrid>
        <w:gridCol w:w="891"/>
        <w:gridCol w:w="1350"/>
        <w:gridCol w:w="1452"/>
        <w:gridCol w:w="1455"/>
        <w:gridCol w:w="1530"/>
        <w:gridCol w:w="1800"/>
      </w:tblGrid>
      <w:tr w:rsidR="00D64552" w:rsidRPr="005007AE" w14:paraId="222EB3B1" w14:textId="77777777" w:rsidTr="004809E7">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738" w:type="dxa"/>
            <w:noWrap/>
            <w:hideMark/>
          </w:tcPr>
          <w:p w14:paraId="175D96A8" w14:textId="77777777" w:rsidR="00D64552" w:rsidRPr="005007AE" w:rsidRDefault="00D64552" w:rsidP="004809E7">
            <w:pPr>
              <w:rPr>
                <w:rFonts w:ascii="Calibri" w:eastAsia="Times New Roman" w:hAnsi="Calibri" w:cs="Times New Roman"/>
                <w:color w:val="000000"/>
              </w:rPr>
            </w:pPr>
            <w:r w:rsidRPr="005007AE">
              <w:rPr>
                <w:rFonts w:ascii="Calibri" w:eastAsia="Times New Roman" w:hAnsi="Calibri" w:cs="Times New Roman"/>
                <w:color w:val="000000"/>
              </w:rPr>
              <w:t>NYTS</w:t>
            </w:r>
            <w:r>
              <w:rPr>
                <w:rFonts w:ascii="Calibri" w:eastAsia="Times New Roman" w:hAnsi="Calibri" w:cs="Times New Roman"/>
                <w:color w:val="000000"/>
              </w:rPr>
              <w:t xml:space="preserve"> Sample</w:t>
            </w:r>
          </w:p>
        </w:tc>
        <w:tc>
          <w:tcPr>
            <w:tcW w:w="1350" w:type="dxa"/>
            <w:noWrap/>
            <w:hideMark/>
          </w:tcPr>
          <w:p w14:paraId="7C69671F" w14:textId="77777777" w:rsidR="00D64552" w:rsidRPr="005007AE" w:rsidRDefault="00D64552" w:rsidP="004809E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Academic</w:t>
            </w:r>
            <w:r w:rsidRPr="005007AE">
              <w:rPr>
                <w:rFonts w:ascii="Calibri" w:eastAsia="Times New Roman" w:hAnsi="Calibri" w:cs="Times New Roman"/>
                <w:color w:val="000000"/>
              </w:rPr>
              <w:t xml:space="preserve"> Year</w:t>
            </w:r>
          </w:p>
        </w:tc>
        <w:tc>
          <w:tcPr>
            <w:tcW w:w="1530" w:type="dxa"/>
          </w:tcPr>
          <w:p w14:paraId="72A60406" w14:textId="77777777" w:rsidR="00D64552" w:rsidRPr="005007AE" w:rsidRDefault="00D64552" w:rsidP="004809E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Most Recent NCES Public School Data</w:t>
            </w:r>
            <w:r>
              <w:rPr>
                <w:rStyle w:val="FootnoteReference"/>
                <w:rFonts w:ascii="Calibri" w:eastAsia="Times New Roman" w:hAnsi="Calibri" w:cs="Times New Roman"/>
                <w:color w:val="000000"/>
              </w:rPr>
              <w:footnoteReference w:id="5"/>
            </w:r>
          </w:p>
        </w:tc>
        <w:tc>
          <w:tcPr>
            <w:tcW w:w="1530" w:type="dxa"/>
          </w:tcPr>
          <w:p w14:paraId="65F54C71" w14:textId="77777777" w:rsidR="00D64552" w:rsidRPr="005007AE" w:rsidRDefault="00D64552" w:rsidP="004809E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Most Recent NCES Private School Data</w:t>
            </w:r>
            <w:r>
              <w:rPr>
                <w:rStyle w:val="FootnoteReference"/>
                <w:rFonts w:ascii="Calibri" w:eastAsia="Times New Roman" w:hAnsi="Calibri" w:cs="Times New Roman"/>
                <w:color w:val="000000"/>
              </w:rPr>
              <w:footnoteReference w:id="6"/>
            </w:r>
          </w:p>
        </w:tc>
        <w:tc>
          <w:tcPr>
            <w:tcW w:w="1530" w:type="dxa"/>
            <w:noWrap/>
            <w:hideMark/>
          </w:tcPr>
          <w:p w14:paraId="0E828B68" w14:textId="77777777" w:rsidR="00D64552" w:rsidRPr="005007AE" w:rsidRDefault="00D64552" w:rsidP="004809E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007AE">
              <w:rPr>
                <w:rFonts w:ascii="Calibri" w:eastAsia="Times New Roman" w:hAnsi="Calibri" w:cs="Times New Roman"/>
                <w:color w:val="000000"/>
              </w:rPr>
              <w:t>Sum of NYTS Weights</w:t>
            </w:r>
          </w:p>
        </w:tc>
        <w:tc>
          <w:tcPr>
            <w:tcW w:w="1800" w:type="dxa"/>
            <w:noWrap/>
            <w:hideMark/>
          </w:tcPr>
          <w:p w14:paraId="412ACE07" w14:textId="77777777" w:rsidR="00D64552" w:rsidRPr="005007AE" w:rsidRDefault="00D64552" w:rsidP="004809E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007AE">
              <w:rPr>
                <w:rFonts w:ascii="Calibri" w:eastAsia="Times New Roman" w:hAnsi="Calibri" w:cs="Times New Roman"/>
                <w:color w:val="000000"/>
              </w:rPr>
              <w:t xml:space="preserve">Population </w:t>
            </w:r>
            <w:r>
              <w:rPr>
                <w:rFonts w:ascii="Calibri" w:eastAsia="Times New Roman" w:hAnsi="Calibri" w:cs="Times New Roman"/>
                <w:color w:val="000000"/>
              </w:rPr>
              <w:t xml:space="preserve">estimate </w:t>
            </w:r>
            <w:r w:rsidRPr="005007AE">
              <w:rPr>
                <w:rFonts w:ascii="Calibri" w:eastAsia="Times New Roman" w:hAnsi="Calibri" w:cs="Times New Roman"/>
                <w:color w:val="000000"/>
              </w:rPr>
              <w:t xml:space="preserve">from NCES data </w:t>
            </w:r>
          </w:p>
        </w:tc>
      </w:tr>
      <w:tr w:rsidR="00D64552" w:rsidRPr="005007AE" w14:paraId="7A6E5BBB" w14:textId="77777777" w:rsidTr="004809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738" w:type="dxa"/>
            <w:noWrap/>
            <w:hideMark/>
          </w:tcPr>
          <w:p w14:paraId="74B05C46" w14:textId="77777777" w:rsidR="00D64552" w:rsidRPr="005007AE" w:rsidRDefault="00D64552" w:rsidP="004809E7">
            <w:pPr>
              <w:rPr>
                <w:rFonts w:ascii="Calibri" w:eastAsia="Times New Roman" w:hAnsi="Calibri" w:cs="Times New Roman"/>
                <w:color w:val="000000"/>
              </w:rPr>
            </w:pPr>
            <w:r w:rsidRPr="005007AE">
              <w:rPr>
                <w:rFonts w:ascii="Calibri" w:eastAsia="Times New Roman" w:hAnsi="Calibri" w:cs="Times New Roman"/>
                <w:color w:val="000000"/>
              </w:rPr>
              <w:t>2002</w:t>
            </w:r>
          </w:p>
        </w:tc>
        <w:tc>
          <w:tcPr>
            <w:tcW w:w="1350" w:type="dxa"/>
            <w:noWrap/>
            <w:hideMark/>
          </w:tcPr>
          <w:p w14:paraId="2CD0D481" w14:textId="77777777" w:rsidR="00D64552" w:rsidRPr="005007AE" w:rsidRDefault="00D64552" w:rsidP="004809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007AE">
              <w:rPr>
                <w:rFonts w:ascii="Calibri" w:eastAsia="Times New Roman" w:hAnsi="Calibri" w:cs="Times New Roman"/>
                <w:color w:val="000000"/>
              </w:rPr>
              <w:t>2001-2002</w:t>
            </w:r>
          </w:p>
        </w:tc>
        <w:tc>
          <w:tcPr>
            <w:tcW w:w="1530" w:type="dxa"/>
          </w:tcPr>
          <w:p w14:paraId="62752211" w14:textId="77777777" w:rsidR="00D64552" w:rsidRPr="002F4E42" w:rsidRDefault="00D64552" w:rsidP="004809E7">
            <w:pPr>
              <w:jc w:val="right"/>
              <w:cnfStyle w:val="000000100000" w:firstRow="0" w:lastRow="0" w:firstColumn="0" w:lastColumn="0" w:oddVBand="0" w:evenVBand="0" w:oddHBand="1" w:evenHBand="0" w:firstRowFirstColumn="0" w:firstRowLastColumn="0" w:lastRowFirstColumn="0" w:lastRowLastColumn="0"/>
            </w:pPr>
            <w:r>
              <w:t>2000-2001</w:t>
            </w:r>
          </w:p>
        </w:tc>
        <w:tc>
          <w:tcPr>
            <w:tcW w:w="1530" w:type="dxa"/>
          </w:tcPr>
          <w:p w14:paraId="42A8D1C6" w14:textId="77777777" w:rsidR="00D64552" w:rsidRPr="002F4E42" w:rsidRDefault="00D64552" w:rsidP="004809E7">
            <w:pPr>
              <w:jc w:val="right"/>
              <w:cnfStyle w:val="000000100000" w:firstRow="0" w:lastRow="0" w:firstColumn="0" w:lastColumn="0" w:oddVBand="0" w:evenVBand="0" w:oddHBand="1" w:evenHBand="0" w:firstRowFirstColumn="0" w:firstRowLastColumn="0" w:lastRowFirstColumn="0" w:lastRowLastColumn="0"/>
            </w:pPr>
            <w:r>
              <w:t>1999-2000</w:t>
            </w:r>
          </w:p>
        </w:tc>
        <w:tc>
          <w:tcPr>
            <w:tcW w:w="1530" w:type="dxa"/>
            <w:noWrap/>
            <w:hideMark/>
          </w:tcPr>
          <w:p w14:paraId="61846C79" w14:textId="77777777" w:rsidR="00D64552" w:rsidRPr="002F4E42" w:rsidRDefault="00D64552" w:rsidP="004809E7">
            <w:pPr>
              <w:jc w:val="right"/>
              <w:cnfStyle w:val="000000100000" w:firstRow="0" w:lastRow="0" w:firstColumn="0" w:lastColumn="0" w:oddVBand="0" w:evenVBand="0" w:oddHBand="1" w:evenHBand="0" w:firstRowFirstColumn="0" w:firstRowLastColumn="0" w:lastRowFirstColumn="0" w:lastRowLastColumn="0"/>
            </w:pPr>
            <w:r w:rsidRPr="002F4E42">
              <w:t>25,568,633</w:t>
            </w:r>
          </w:p>
        </w:tc>
        <w:tc>
          <w:tcPr>
            <w:tcW w:w="1800" w:type="dxa"/>
            <w:noWrap/>
            <w:hideMark/>
          </w:tcPr>
          <w:p w14:paraId="30424C1A" w14:textId="77777777" w:rsidR="00D64552" w:rsidRPr="005007AE" w:rsidRDefault="00D64552" w:rsidP="004809E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007AE">
              <w:rPr>
                <w:rFonts w:ascii="Calibri" w:eastAsia="Times New Roman" w:hAnsi="Calibri" w:cs="Times New Roman"/>
                <w:color w:val="000000"/>
              </w:rPr>
              <w:t>  </w:t>
            </w:r>
            <w:r w:rsidRPr="00614BBD">
              <w:rPr>
                <w:rFonts w:ascii="Calibri" w:eastAsia="Times New Roman" w:hAnsi="Calibri" w:cs="Times New Roman"/>
                <w:color w:val="000000"/>
              </w:rPr>
              <w:t>25,941,263</w:t>
            </w:r>
            <w:r w:rsidRPr="00614BBD" w:rsidDel="00614BBD">
              <w:rPr>
                <w:rFonts w:ascii="Calibri" w:eastAsia="Times New Roman" w:hAnsi="Calibri" w:cs="Times New Roman"/>
                <w:color w:val="000000"/>
              </w:rPr>
              <w:t xml:space="preserve"> </w:t>
            </w:r>
          </w:p>
        </w:tc>
      </w:tr>
      <w:tr w:rsidR="00D64552" w:rsidRPr="005007AE" w14:paraId="11A8164E" w14:textId="77777777" w:rsidTr="004809E7">
        <w:trPr>
          <w:trHeight w:val="306"/>
        </w:trPr>
        <w:tc>
          <w:tcPr>
            <w:cnfStyle w:val="001000000000" w:firstRow="0" w:lastRow="0" w:firstColumn="1" w:lastColumn="0" w:oddVBand="0" w:evenVBand="0" w:oddHBand="0" w:evenHBand="0" w:firstRowFirstColumn="0" w:firstRowLastColumn="0" w:lastRowFirstColumn="0" w:lastRowLastColumn="0"/>
            <w:tcW w:w="738" w:type="dxa"/>
            <w:noWrap/>
            <w:hideMark/>
          </w:tcPr>
          <w:p w14:paraId="76C2106A" w14:textId="77777777" w:rsidR="00D64552" w:rsidRPr="005007AE" w:rsidRDefault="00D64552" w:rsidP="004809E7">
            <w:pPr>
              <w:rPr>
                <w:rFonts w:ascii="Calibri" w:eastAsia="Times New Roman" w:hAnsi="Calibri" w:cs="Times New Roman"/>
                <w:color w:val="000000"/>
              </w:rPr>
            </w:pPr>
            <w:r w:rsidRPr="005007AE">
              <w:rPr>
                <w:rFonts w:ascii="Calibri" w:eastAsia="Times New Roman" w:hAnsi="Calibri" w:cs="Times New Roman"/>
                <w:color w:val="000000"/>
              </w:rPr>
              <w:t>2004</w:t>
            </w:r>
          </w:p>
        </w:tc>
        <w:tc>
          <w:tcPr>
            <w:tcW w:w="1350" w:type="dxa"/>
            <w:noWrap/>
            <w:hideMark/>
          </w:tcPr>
          <w:p w14:paraId="0DFC998A" w14:textId="77777777" w:rsidR="00D64552" w:rsidRPr="005007AE" w:rsidRDefault="00D64552" w:rsidP="004809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007AE">
              <w:rPr>
                <w:rFonts w:ascii="Calibri" w:eastAsia="Times New Roman" w:hAnsi="Calibri" w:cs="Times New Roman"/>
                <w:color w:val="000000"/>
              </w:rPr>
              <w:t>2003-2004</w:t>
            </w:r>
          </w:p>
        </w:tc>
        <w:tc>
          <w:tcPr>
            <w:tcW w:w="1530" w:type="dxa"/>
          </w:tcPr>
          <w:p w14:paraId="2E9AED52" w14:textId="77777777" w:rsidR="00D64552" w:rsidRPr="002F4E42" w:rsidRDefault="00D64552" w:rsidP="004809E7">
            <w:pPr>
              <w:jc w:val="right"/>
              <w:cnfStyle w:val="000000000000" w:firstRow="0" w:lastRow="0" w:firstColumn="0" w:lastColumn="0" w:oddVBand="0" w:evenVBand="0" w:oddHBand="0" w:evenHBand="0" w:firstRowFirstColumn="0" w:firstRowLastColumn="0" w:lastRowFirstColumn="0" w:lastRowLastColumn="0"/>
            </w:pPr>
            <w:r>
              <w:t>2002-2003</w:t>
            </w:r>
          </w:p>
        </w:tc>
        <w:tc>
          <w:tcPr>
            <w:tcW w:w="1530" w:type="dxa"/>
          </w:tcPr>
          <w:p w14:paraId="088F2062" w14:textId="77777777" w:rsidR="00D64552" w:rsidRPr="002F4E42" w:rsidRDefault="00D64552" w:rsidP="004809E7">
            <w:pPr>
              <w:jc w:val="right"/>
              <w:cnfStyle w:val="000000000000" w:firstRow="0" w:lastRow="0" w:firstColumn="0" w:lastColumn="0" w:oddVBand="0" w:evenVBand="0" w:oddHBand="0" w:evenHBand="0" w:firstRowFirstColumn="0" w:firstRowLastColumn="0" w:lastRowFirstColumn="0" w:lastRowLastColumn="0"/>
            </w:pPr>
            <w:r>
              <w:t>2001-2002</w:t>
            </w:r>
          </w:p>
        </w:tc>
        <w:tc>
          <w:tcPr>
            <w:tcW w:w="1530" w:type="dxa"/>
            <w:noWrap/>
            <w:hideMark/>
          </w:tcPr>
          <w:p w14:paraId="75DA0EEA" w14:textId="77777777" w:rsidR="00D64552" w:rsidRPr="002F4E42" w:rsidRDefault="00D64552" w:rsidP="004809E7">
            <w:pPr>
              <w:jc w:val="right"/>
              <w:cnfStyle w:val="000000000000" w:firstRow="0" w:lastRow="0" w:firstColumn="0" w:lastColumn="0" w:oddVBand="0" w:evenVBand="0" w:oddHBand="0" w:evenHBand="0" w:firstRowFirstColumn="0" w:firstRowLastColumn="0" w:lastRowFirstColumn="0" w:lastRowLastColumn="0"/>
            </w:pPr>
            <w:r w:rsidRPr="002F4E42">
              <w:t>25,531,273</w:t>
            </w:r>
          </w:p>
        </w:tc>
        <w:tc>
          <w:tcPr>
            <w:tcW w:w="1800" w:type="dxa"/>
            <w:noWrap/>
            <w:hideMark/>
          </w:tcPr>
          <w:p w14:paraId="497B1381" w14:textId="77777777" w:rsidR="00D64552" w:rsidRPr="005007AE" w:rsidRDefault="00D64552" w:rsidP="004809E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007AE">
              <w:rPr>
                <w:rFonts w:ascii="Calibri" w:eastAsia="Times New Roman" w:hAnsi="Calibri" w:cs="Times New Roman"/>
                <w:color w:val="000000"/>
              </w:rPr>
              <w:t>  </w:t>
            </w:r>
            <w:r w:rsidRPr="00614BBD">
              <w:rPr>
                <w:rFonts w:ascii="Calibri" w:eastAsia="Times New Roman" w:hAnsi="Calibri" w:cs="Times New Roman"/>
                <w:color w:val="000000"/>
              </w:rPr>
              <w:t>27,095,834</w:t>
            </w:r>
            <w:r w:rsidRPr="00614BBD" w:rsidDel="00614BBD">
              <w:rPr>
                <w:rFonts w:ascii="Calibri" w:eastAsia="Times New Roman" w:hAnsi="Calibri" w:cs="Times New Roman"/>
                <w:color w:val="000000"/>
              </w:rPr>
              <w:t xml:space="preserve"> </w:t>
            </w:r>
          </w:p>
        </w:tc>
      </w:tr>
      <w:tr w:rsidR="00D64552" w:rsidRPr="005007AE" w14:paraId="2A1D7A05" w14:textId="77777777" w:rsidTr="004809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738" w:type="dxa"/>
            <w:noWrap/>
            <w:hideMark/>
          </w:tcPr>
          <w:p w14:paraId="786C6B06" w14:textId="77777777" w:rsidR="00D64552" w:rsidRPr="005007AE" w:rsidRDefault="00D64552" w:rsidP="004809E7">
            <w:pPr>
              <w:rPr>
                <w:rFonts w:ascii="Calibri" w:eastAsia="Times New Roman" w:hAnsi="Calibri" w:cs="Times New Roman"/>
                <w:color w:val="000000"/>
              </w:rPr>
            </w:pPr>
            <w:r w:rsidRPr="005007AE">
              <w:rPr>
                <w:rFonts w:ascii="Calibri" w:eastAsia="Times New Roman" w:hAnsi="Calibri" w:cs="Times New Roman"/>
                <w:color w:val="000000"/>
              </w:rPr>
              <w:t>2006</w:t>
            </w:r>
          </w:p>
        </w:tc>
        <w:tc>
          <w:tcPr>
            <w:tcW w:w="1350" w:type="dxa"/>
            <w:noWrap/>
            <w:hideMark/>
          </w:tcPr>
          <w:p w14:paraId="7252CA53" w14:textId="77777777" w:rsidR="00D64552" w:rsidRPr="005007AE" w:rsidRDefault="00D64552" w:rsidP="004809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007AE">
              <w:rPr>
                <w:rFonts w:ascii="Calibri" w:eastAsia="Times New Roman" w:hAnsi="Calibri" w:cs="Times New Roman"/>
                <w:color w:val="000000"/>
              </w:rPr>
              <w:t>2005-2006</w:t>
            </w:r>
          </w:p>
        </w:tc>
        <w:tc>
          <w:tcPr>
            <w:tcW w:w="1530" w:type="dxa"/>
          </w:tcPr>
          <w:p w14:paraId="6D28C9CF" w14:textId="77777777" w:rsidR="00D64552" w:rsidRPr="002F4E42" w:rsidRDefault="00D64552" w:rsidP="004809E7">
            <w:pPr>
              <w:jc w:val="right"/>
              <w:cnfStyle w:val="000000100000" w:firstRow="0" w:lastRow="0" w:firstColumn="0" w:lastColumn="0" w:oddVBand="0" w:evenVBand="0" w:oddHBand="1" w:evenHBand="0" w:firstRowFirstColumn="0" w:firstRowLastColumn="0" w:lastRowFirstColumn="0" w:lastRowLastColumn="0"/>
            </w:pPr>
            <w:r>
              <w:t>2004-2005</w:t>
            </w:r>
          </w:p>
        </w:tc>
        <w:tc>
          <w:tcPr>
            <w:tcW w:w="1530" w:type="dxa"/>
          </w:tcPr>
          <w:p w14:paraId="50D30D8C" w14:textId="77777777" w:rsidR="00D64552" w:rsidRPr="002F4E42" w:rsidRDefault="00D64552" w:rsidP="004809E7">
            <w:pPr>
              <w:jc w:val="right"/>
              <w:cnfStyle w:val="000000100000" w:firstRow="0" w:lastRow="0" w:firstColumn="0" w:lastColumn="0" w:oddVBand="0" w:evenVBand="0" w:oddHBand="1" w:evenHBand="0" w:firstRowFirstColumn="0" w:firstRowLastColumn="0" w:lastRowFirstColumn="0" w:lastRowLastColumn="0"/>
            </w:pPr>
            <w:r>
              <w:t>2003-2004</w:t>
            </w:r>
          </w:p>
        </w:tc>
        <w:tc>
          <w:tcPr>
            <w:tcW w:w="1530" w:type="dxa"/>
            <w:noWrap/>
            <w:hideMark/>
          </w:tcPr>
          <w:p w14:paraId="4BBB9DBC" w14:textId="77777777" w:rsidR="00D64552" w:rsidRDefault="00D64552" w:rsidP="004809E7">
            <w:pPr>
              <w:jc w:val="right"/>
              <w:cnfStyle w:val="000000100000" w:firstRow="0" w:lastRow="0" w:firstColumn="0" w:lastColumn="0" w:oddVBand="0" w:evenVBand="0" w:oddHBand="1" w:evenHBand="0" w:firstRowFirstColumn="0" w:firstRowLastColumn="0" w:lastRowFirstColumn="0" w:lastRowLastColumn="0"/>
            </w:pPr>
            <w:r w:rsidRPr="002F4E42">
              <w:t>26,345,581</w:t>
            </w:r>
          </w:p>
        </w:tc>
        <w:tc>
          <w:tcPr>
            <w:tcW w:w="1800" w:type="dxa"/>
            <w:noWrap/>
            <w:hideMark/>
          </w:tcPr>
          <w:p w14:paraId="779F0205" w14:textId="77777777" w:rsidR="00D64552" w:rsidRPr="005007AE" w:rsidRDefault="00D64552" w:rsidP="004809E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007AE">
              <w:rPr>
                <w:rFonts w:ascii="Calibri" w:eastAsia="Times New Roman" w:hAnsi="Calibri" w:cs="Times New Roman"/>
                <w:color w:val="000000"/>
              </w:rPr>
              <w:t>  </w:t>
            </w:r>
            <w:r w:rsidRPr="00614BBD">
              <w:rPr>
                <w:rFonts w:ascii="Calibri" w:eastAsia="Times New Roman" w:hAnsi="Calibri" w:cs="Times New Roman"/>
                <w:color w:val="000000"/>
              </w:rPr>
              <w:t>27,586,677</w:t>
            </w:r>
            <w:r w:rsidRPr="00614BBD" w:rsidDel="00614BBD">
              <w:rPr>
                <w:rFonts w:ascii="Calibri" w:eastAsia="Times New Roman" w:hAnsi="Calibri" w:cs="Times New Roman"/>
                <w:color w:val="000000"/>
              </w:rPr>
              <w:t xml:space="preserve"> </w:t>
            </w:r>
          </w:p>
        </w:tc>
      </w:tr>
    </w:tbl>
    <w:p w14:paraId="2F22A982" w14:textId="28C18573" w:rsidR="00D64552" w:rsidRDefault="00D64552" w:rsidP="0088763B"/>
    <w:p w14:paraId="232948CC" w14:textId="785D01E2" w:rsidR="00D64552" w:rsidRDefault="00801895" w:rsidP="0088763B">
      <w:r>
        <w:t xml:space="preserve">The numbers from the NCES data are consistently larger, but we do not expect this to affect analyses dramatically. Possible sources for these differences include: 1) Differences in the sampling and frequency of coverage between the NCES and the QED data sources and 2) The NYTS practice of weight trimming which reduces the size of large weights. </w:t>
      </w:r>
      <w:r w:rsidR="00D64552">
        <w:t>Analysts who desire a consistent total population estimate across all years may choose to rescale the 2002-2006 NYTS samples to the population specified in Table 2 or calculate the total population from the NCES data sources for all years</w:t>
      </w:r>
      <w:r w:rsidR="00D64552">
        <w:rPr>
          <w:rStyle w:val="FootnoteReference"/>
        </w:rPr>
        <w:footnoteReference w:id="7"/>
      </w:r>
      <w:r w:rsidR="00D64552">
        <w:t xml:space="preserve">. </w:t>
      </w:r>
    </w:p>
    <w:p w14:paraId="2AD6E5CA" w14:textId="5BA311B3" w:rsidR="001D0617" w:rsidRDefault="001D0617" w:rsidP="001D0617">
      <w:pPr>
        <w:pStyle w:val="Heading1"/>
      </w:pPr>
      <w:r>
        <w:t>Sample Code</w:t>
      </w:r>
    </w:p>
    <w:p w14:paraId="19EAEEB3" w14:textId="43E88157" w:rsidR="002B7CCD" w:rsidRPr="002B7CCD" w:rsidRDefault="00760CFF" w:rsidP="00107A84">
      <w:r>
        <w:t>We</w:t>
      </w:r>
      <w:r w:rsidR="002B7CCD">
        <w:t xml:space="preserve"> are providing analysts with sample code on how to modify the 1999 and 2000 data for analyses requiring the weights </w:t>
      </w:r>
      <w:r>
        <w:t>that are</w:t>
      </w:r>
      <w:r w:rsidR="002B7CCD">
        <w:t xml:space="preserve"> rescaled to the population total.</w:t>
      </w:r>
      <w:r w:rsidR="00CB2F58">
        <w:t xml:space="preserve"> The sample code below demonstrates how this rescaling can be done in STATA and R</w:t>
      </w:r>
      <w:r w:rsidR="00770BBD">
        <w:t>, though the logic is consistent regardless of statistical package</w:t>
      </w:r>
      <w:r w:rsidR="00CB2F58">
        <w:t>.</w:t>
      </w:r>
      <w:r w:rsidR="00770BBD">
        <w:t xml:space="preserve"> Sample code for SAS and/or SPSS can be provided upon request.</w:t>
      </w:r>
      <w:bookmarkStart w:id="0" w:name="_GoBack"/>
      <w:bookmarkEnd w:id="0"/>
    </w:p>
    <w:p w14:paraId="0B59A4C0" w14:textId="77777777" w:rsidR="00437566" w:rsidRDefault="00437566" w:rsidP="00437566">
      <w:pPr>
        <w:pStyle w:val="Heading2"/>
      </w:pPr>
      <w:r>
        <w:t>R</w:t>
      </w:r>
    </w:p>
    <w:p w14:paraId="09120596" w14:textId="77777777" w:rsidR="00437566" w:rsidRDefault="00437566" w:rsidP="00437566">
      <w:pPr>
        <w:pStyle w:val="Code"/>
        <w:rPr>
          <w:b/>
        </w:rPr>
      </w:pPr>
      <w:r w:rsidRPr="008612A7">
        <w:rPr>
          <w:b/>
        </w:rPr>
        <w:t>library(survey)</w:t>
      </w:r>
    </w:p>
    <w:p w14:paraId="136D08F0" w14:textId="77777777" w:rsidR="00437566" w:rsidRPr="008612A7" w:rsidRDefault="00437566" w:rsidP="00437566">
      <w:pPr>
        <w:pStyle w:val="Code"/>
        <w:rPr>
          <w:b/>
        </w:rPr>
      </w:pPr>
    </w:p>
    <w:p w14:paraId="58FC9090" w14:textId="77777777" w:rsidR="00437566" w:rsidRPr="00CC20CE" w:rsidRDefault="00437566" w:rsidP="00437566">
      <w:pPr>
        <w:pStyle w:val="Code"/>
        <w:rPr>
          <w:color w:val="404040" w:themeColor="text1" w:themeTint="BF"/>
        </w:rPr>
      </w:pPr>
      <w:r w:rsidRPr="00CC20CE">
        <w:rPr>
          <w:color w:val="404040" w:themeColor="text1" w:themeTint="BF"/>
        </w:rPr>
        <w:t># Load dataset</w:t>
      </w:r>
    </w:p>
    <w:p w14:paraId="6C42D90C" w14:textId="77777777" w:rsidR="00437566" w:rsidRPr="00CC20CE" w:rsidRDefault="00437566" w:rsidP="00437566">
      <w:pPr>
        <w:pStyle w:val="Code"/>
        <w:rPr>
          <w:b/>
        </w:rPr>
      </w:pPr>
      <w:r w:rsidRPr="00CC20CE">
        <w:rPr>
          <w:b/>
        </w:rPr>
        <w:t>nyts &lt;- read.csv(</w:t>
      </w:r>
      <w:r>
        <w:rPr>
          <w:b/>
        </w:rPr>
        <w:t>"</w:t>
      </w:r>
      <w:r w:rsidRPr="00CC20CE">
        <w:rPr>
          <w:b/>
        </w:rPr>
        <w:t>nytsall_integrated.csv")</w:t>
      </w:r>
    </w:p>
    <w:p w14:paraId="5B8DA169" w14:textId="77777777" w:rsidR="00437566" w:rsidRDefault="00437566" w:rsidP="00437566">
      <w:pPr>
        <w:pStyle w:val="Code"/>
      </w:pPr>
    </w:p>
    <w:p w14:paraId="63762351" w14:textId="77777777" w:rsidR="00437566" w:rsidRPr="00242481" w:rsidRDefault="00437566" w:rsidP="00437566">
      <w:pPr>
        <w:pStyle w:val="Code"/>
        <w:rPr>
          <w:color w:val="595959" w:themeColor="text1" w:themeTint="A6"/>
        </w:rPr>
      </w:pPr>
      <w:r>
        <w:rPr>
          <w:color w:val="595959" w:themeColor="text1" w:themeTint="A6"/>
        </w:rPr>
        <w:t>#</w:t>
      </w:r>
      <w:r w:rsidRPr="00242481">
        <w:rPr>
          <w:color w:val="595959" w:themeColor="text1" w:themeTint="A6"/>
        </w:rPr>
        <w:t xml:space="preserve"> When treating each sample as a separate sample in time</w:t>
      </w:r>
    </w:p>
    <w:p w14:paraId="4635C307" w14:textId="77777777" w:rsidR="00437566" w:rsidRDefault="00437566" w:rsidP="00437566">
      <w:pPr>
        <w:pStyle w:val="Code"/>
        <w:rPr>
          <w:color w:val="595959" w:themeColor="text1" w:themeTint="A6"/>
        </w:rPr>
      </w:pPr>
      <w:r>
        <w:rPr>
          <w:color w:val="595959" w:themeColor="text1" w:themeTint="A6"/>
        </w:rPr>
        <w:t>#</w:t>
      </w:r>
      <w:r w:rsidRPr="00242481">
        <w:rPr>
          <w:color w:val="595959" w:themeColor="text1" w:themeTint="A6"/>
        </w:rPr>
        <w:t xml:space="preserve"> multiply the weight by </w:t>
      </w:r>
      <w:r>
        <w:rPr>
          <w:color w:val="595959" w:themeColor="text1" w:themeTint="A6"/>
        </w:rPr>
        <w:t xml:space="preserve">population size divided by the </w:t>
      </w:r>
    </w:p>
    <w:p w14:paraId="1787ACE7" w14:textId="77777777" w:rsidR="00437566" w:rsidRDefault="00437566" w:rsidP="00437566">
      <w:pPr>
        <w:pStyle w:val="Code"/>
        <w:rPr>
          <w:color w:val="595959" w:themeColor="text1" w:themeTint="A6"/>
        </w:rPr>
      </w:pPr>
      <w:r>
        <w:rPr>
          <w:color w:val="595959" w:themeColor="text1" w:themeTint="A6"/>
        </w:rPr>
        <w:t xml:space="preserve"># sample size so the sum of the </w:t>
      </w:r>
      <w:r w:rsidRPr="00242481">
        <w:rPr>
          <w:color w:val="595959" w:themeColor="text1" w:themeTint="A6"/>
        </w:rPr>
        <w:t>weights i</w:t>
      </w:r>
      <w:r>
        <w:rPr>
          <w:color w:val="595959" w:themeColor="text1" w:themeTint="A6"/>
        </w:rPr>
        <w:t xml:space="preserve">s equal to the </w:t>
      </w:r>
    </w:p>
    <w:p w14:paraId="4B00C6BA" w14:textId="77777777" w:rsidR="00437566" w:rsidRPr="00242481" w:rsidRDefault="00437566" w:rsidP="00437566">
      <w:pPr>
        <w:pStyle w:val="Code"/>
        <w:rPr>
          <w:color w:val="595959" w:themeColor="text1" w:themeTint="A6"/>
        </w:rPr>
      </w:pPr>
      <w:r>
        <w:rPr>
          <w:color w:val="595959" w:themeColor="text1" w:themeTint="A6"/>
        </w:rPr>
        <w:t># population size.</w:t>
      </w:r>
    </w:p>
    <w:p w14:paraId="77D498DF" w14:textId="77777777" w:rsidR="00437566" w:rsidRPr="00393917" w:rsidRDefault="00437566" w:rsidP="00437566">
      <w:pPr>
        <w:pStyle w:val="Code"/>
        <w:rPr>
          <w:b/>
        </w:rPr>
      </w:pPr>
      <w:r>
        <w:rPr>
          <w:b/>
        </w:rPr>
        <w:t>nyts$wtscaled &lt;- nyts$</w:t>
      </w:r>
      <w:r w:rsidRPr="00393917">
        <w:rPr>
          <w:b/>
        </w:rPr>
        <w:t>perwt</w:t>
      </w:r>
    </w:p>
    <w:p w14:paraId="31F991E8" w14:textId="77777777" w:rsidR="00437566" w:rsidRDefault="00437566" w:rsidP="00437566">
      <w:pPr>
        <w:pStyle w:val="Code"/>
        <w:rPr>
          <w:b/>
        </w:rPr>
      </w:pPr>
      <w:r>
        <w:rPr>
          <w:b/>
        </w:rPr>
        <w:t xml:space="preserve">nyts$wtscaled &lt;- ifelse(nyts$year == 1999, </w:t>
      </w:r>
    </w:p>
    <w:p w14:paraId="4E5F4487" w14:textId="77777777" w:rsidR="00437566" w:rsidRDefault="00437566" w:rsidP="00437566">
      <w:pPr>
        <w:pStyle w:val="Code"/>
        <w:rPr>
          <w:b/>
        </w:rPr>
      </w:pPr>
      <w:r>
        <w:rPr>
          <w:b/>
        </w:rPr>
        <w:t xml:space="preserve">                        nyts$wtscaled * 25</w:t>
      </w:r>
      <w:r w:rsidRPr="009D25FF">
        <w:rPr>
          <w:b/>
        </w:rPr>
        <w:t>336606</w:t>
      </w:r>
      <w:r>
        <w:rPr>
          <w:b/>
        </w:rPr>
        <w:t xml:space="preserve"> / 15058, </w:t>
      </w:r>
    </w:p>
    <w:p w14:paraId="37D4C151" w14:textId="77777777" w:rsidR="00437566" w:rsidRPr="00393917" w:rsidRDefault="00437566" w:rsidP="00437566">
      <w:pPr>
        <w:pStyle w:val="Code"/>
        <w:rPr>
          <w:b/>
        </w:rPr>
      </w:pPr>
      <w:r>
        <w:rPr>
          <w:b/>
        </w:rPr>
        <w:t xml:space="preserve">                        nyts$wtscaled)</w:t>
      </w:r>
    </w:p>
    <w:p w14:paraId="780904D5" w14:textId="77777777" w:rsidR="00437566" w:rsidRDefault="00437566" w:rsidP="00437566">
      <w:pPr>
        <w:pStyle w:val="Code"/>
        <w:rPr>
          <w:b/>
        </w:rPr>
      </w:pPr>
      <w:r>
        <w:rPr>
          <w:b/>
        </w:rPr>
        <w:t xml:space="preserve">nyts$wtscaled &lt;- ifelse(nyts$year == 2000, </w:t>
      </w:r>
    </w:p>
    <w:p w14:paraId="0D0B595E" w14:textId="77777777" w:rsidR="00437566" w:rsidRDefault="00437566" w:rsidP="00437566">
      <w:pPr>
        <w:pStyle w:val="Code"/>
        <w:rPr>
          <w:b/>
        </w:rPr>
      </w:pPr>
      <w:r>
        <w:rPr>
          <w:b/>
        </w:rPr>
        <w:t xml:space="preserve">                        nyts$wtscaled * 25</w:t>
      </w:r>
      <w:r w:rsidRPr="009D25FF">
        <w:rPr>
          <w:b/>
        </w:rPr>
        <w:t>336606</w:t>
      </w:r>
      <w:r>
        <w:rPr>
          <w:b/>
        </w:rPr>
        <w:t xml:space="preserve"> / </w:t>
      </w:r>
      <w:r w:rsidRPr="00393917">
        <w:rPr>
          <w:b/>
        </w:rPr>
        <w:t>35828</w:t>
      </w:r>
      <w:r>
        <w:rPr>
          <w:b/>
        </w:rPr>
        <w:t xml:space="preserve">, </w:t>
      </w:r>
    </w:p>
    <w:p w14:paraId="0770138A" w14:textId="77777777" w:rsidR="00437566" w:rsidRDefault="00437566" w:rsidP="00437566">
      <w:pPr>
        <w:pStyle w:val="Code"/>
        <w:rPr>
          <w:b/>
        </w:rPr>
      </w:pPr>
      <w:r>
        <w:rPr>
          <w:b/>
        </w:rPr>
        <w:t xml:space="preserve">                        nyts$wtscaled)</w:t>
      </w:r>
    </w:p>
    <w:p w14:paraId="71AA44EF" w14:textId="77777777" w:rsidR="00437566" w:rsidRDefault="00437566" w:rsidP="00437566">
      <w:pPr>
        <w:pStyle w:val="Code"/>
        <w:rPr>
          <w:b/>
        </w:rPr>
      </w:pPr>
    </w:p>
    <w:p w14:paraId="2C2380AF" w14:textId="77777777" w:rsidR="00437566" w:rsidRPr="005D5240" w:rsidRDefault="00437566" w:rsidP="00437566">
      <w:pPr>
        <w:pStyle w:val="Code"/>
        <w:rPr>
          <w:b/>
        </w:rPr>
      </w:pPr>
      <w:r w:rsidRPr="005D5240">
        <w:rPr>
          <w:b/>
        </w:rPr>
        <w:t xml:space="preserve">nyts$cigev_i &lt;- ifelse(nyts$cigev == 2, 1, </w:t>
      </w:r>
    </w:p>
    <w:p w14:paraId="690C76CA" w14:textId="77777777" w:rsidR="00437566" w:rsidRPr="00393917" w:rsidRDefault="00437566" w:rsidP="00437566">
      <w:pPr>
        <w:pStyle w:val="Code"/>
        <w:rPr>
          <w:b/>
        </w:rPr>
      </w:pPr>
      <w:r w:rsidRPr="005D5240">
        <w:rPr>
          <w:b/>
        </w:rPr>
        <w:t xml:space="preserve">                       ifelse(nyts$cigev == 9, NA, 0))</w:t>
      </w:r>
    </w:p>
    <w:p w14:paraId="1E360C96" w14:textId="77777777" w:rsidR="00437566" w:rsidRDefault="00437566" w:rsidP="00437566">
      <w:pPr>
        <w:pStyle w:val="Code"/>
        <w:rPr>
          <w:color w:val="595959" w:themeColor="text1" w:themeTint="A6"/>
        </w:rPr>
      </w:pPr>
    </w:p>
    <w:p w14:paraId="1A8D8ADF" w14:textId="77777777" w:rsidR="00437566" w:rsidRPr="00242481" w:rsidRDefault="00437566" w:rsidP="00437566">
      <w:pPr>
        <w:pStyle w:val="Code"/>
        <w:rPr>
          <w:color w:val="595959" w:themeColor="text1" w:themeTint="A6"/>
        </w:rPr>
      </w:pPr>
    </w:p>
    <w:p w14:paraId="43153F37" w14:textId="77777777" w:rsidR="00437566" w:rsidRDefault="00437566" w:rsidP="00437566">
      <w:pPr>
        <w:pStyle w:val="Code"/>
        <w:rPr>
          <w:b/>
        </w:rPr>
      </w:pPr>
      <w:r>
        <w:rPr>
          <w:b/>
        </w:rPr>
        <w:t xml:space="preserve">nyts_svy &lt;- svydesign(ids = ~psunum, weight = ~wtscaled, </w:t>
      </w:r>
    </w:p>
    <w:p w14:paraId="2126EF48" w14:textId="77777777" w:rsidR="00437566" w:rsidRDefault="00437566" w:rsidP="00437566">
      <w:pPr>
        <w:pStyle w:val="Code"/>
        <w:rPr>
          <w:b/>
        </w:rPr>
      </w:pPr>
      <w:r>
        <w:rPr>
          <w:b/>
        </w:rPr>
        <w:t xml:space="preserve">                      strata = ~stratanum, data = nyts)</w:t>
      </w:r>
    </w:p>
    <w:p w14:paraId="6DB66FE0" w14:textId="77777777" w:rsidR="00437566" w:rsidRDefault="00437566" w:rsidP="00437566">
      <w:pPr>
        <w:pStyle w:val="Code"/>
        <w:rPr>
          <w:b/>
        </w:rPr>
      </w:pPr>
    </w:p>
    <w:p w14:paraId="0AEED299" w14:textId="77777777" w:rsidR="00437566" w:rsidRPr="00EC7607" w:rsidRDefault="00437566" w:rsidP="00437566">
      <w:pPr>
        <w:pStyle w:val="Code"/>
        <w:rPr>
          <w:color w:val="595959" w:themeColor="text1" w:themeTint="A6"/>
        </w:rPr>
      </w:pPr>
      <w:r>
        <w:rPr>
          <w:color w:val="595959" w:themeColor="text1" w:themeTint="A6"/>
        </w:rPr>
        <w:t>#</w:t>
      </w:r>
      <w:r w:rsidRPr="00EC7607">
        <w:rPr>
          <w:color w:val="595959" w:themeColor="text1" w:themeTint="A6"/>
        </w:rPr>
        <w:t xml:space="preserve"> </w:t>
      </w:r>
      <w:r>
        <w:rPr>
          <w:color w:val="595959" w:themeColor="text1" w:themeTint="A6"/>
        </w:rPr>
        <w:t>survey.lonely.psu</w:t>
      </w:r>
      <w:r w:rsidRPr="00EC7607">
        <w:rPr>
          <w:color w:val="595959" w:themeColor="text1" w:themeTint="A6"/>
        </w:rPr>
        <w:t xml:space="preserve"> command allows for variance estimates when</w:t>
      </w:r>
    </w:p>
    <w:p w14:paraId="0711F28E" w14:textId="77777777" w:rsidR="00437566" w:rsidRPr="00EC7607" w:rsidRDefault="00437566" w:rsidP="00437566">
      <w:pPr>
        <w:pStyle w:val="Code"/>
        <w:rPr>
          <w:color w:val="595959" w:themeColor="text1" w:themeTint="A6"/>
        </w:rPr>
      </w:pPr>
      <w:r>
        <w:rPr>
          <w:color w:val="595959" w:themeColor="text1" w:themeTint="A6"/>
        </w:rPr>
        <w:t>#</w:t>
      </w:r>
      <w:r w:rsidRPr="00EC7607">
        <w:rPr>
          <w:color w:val="595959" w:themeColor="text1" w:themeTint="A6"/>
        </w:rPr>
        <w:t xml:space="preserve"> there is only one psu in a stratum. May not be correct</w:t>
      </w:r>
    </w:p>
    <w:p w14:paraId="5692E330" w14:textId="77777777" w:rsidR="00437566" w:rsidRPr="007F2566" w:rsidRDefault="00437566" w:rsidP="00437566">
      <w:pPr>
        <w:pStyle w:val="Code"/>
        <w:rPr>
          <w:color w:val="595959" w:themeColor="text1" w:themeTint="A6"/>
        </w:rPr>
      </w:pPr>
      <w:r>
        <w:rPr>
          <w:color w:val="595959" w:themeColor="text1" w:themeTint="A6"/>
        </w:rPr>
        <w:t>#</w:t>
      </w:r>
      <w:r w:rsidRPr="00EC7607">
        <w:rPr>
          <w:color w:val="595959" w:themeColor="text1" w:themeTint="A6"/>
        </w:rPr>
        <w:t xml:space="preserve"> for all analyses.</w:t>
      </w:r>
    </w:p>
    <w:p w14:paraId="5C228BB7" w14:textId="77777777" w:rsidR="00437566" w:rsidRPr="00393917" w:rsidRDefault="00437566" w:rsidP="00437566">
      <w:pPr>
        <w:pStyle w:val="Code"/>
        <w:rPr>
          <w:b/>
        </w:rPr>
      </w:pPr>
      <w:r>
        <w:rPr>
          <w:b/>
        </w:rPr>
        <w:t>options(survey.lonely.psu = "adjust"</w:t>
      </w:r>
      <w:r w:rsidRPr="00393917">
        <w:rPr>
          <w:b/>
        </w:rPr>
        <w:t>)</w:t>
      </w:r>
    </w:p>
    <w:p w14:paraId="3456DF2C" w14:textId="77777777" w:rsidR="00437566" w:rsidRPr="00242481" w:rsidRDefault="00437566" w:rsidP="00437566">
      <w:pPr>
        <w:pStyle w:val="Code"/>
        <w:rPr>
          <w:color w:val="595959" w:themeColor="text1" w:themeTint="A6"/>
        </w:rPr>
      </w:pPr>
    </w:p>
    <w:p w14:paraId="03BC5FD9" w14:textId="77777777" w:rsidR="00437566" w:rsidRPr="00242481" w:rsidRDefault="00437566" w:rsidP="00437566">
      <w:pPr>
        <w:pStyle w:val="Code"/>
        <w:rPr>
          <w:color w:val="595959" w:themeColor="text1" w:themeTint="A6"/>
        </w:rPr>
      </w:pPr>
      <w:r>
        <w:rPr>
          <w:color w:val="595959" w:themeColor="text1" w:themeTint="A6"/>
        </w:rPr>
        <w:t>#</w:t>
      </w:r>
      <w:r w:rsidRPr="00242481">
        <w:rPr>
          <w:color w:val="595959" w:themeColor="text1" w:themeTint="A6"/>
        </w:rPr>
        <w:t xml:space="preserve"> Calculate the total number of students who have ever smoked</w:t>
      </w:r>
    </w:p>
    <w:p w14:paraId="6CB5B888" w14:textId="77777777" w:rsidR="00437566" w:rsidRPr="00242481" w:rsidRDefault="00437566" w:rsidP="00437566">
      <w:pPr>
        <w:pStyle w:val="Code"/>
        <w:rPr>
          <w:color w:val="595959" w:themeColor="text1" w:themeTint="A6"/>
        </w:rPr>
      </w:pPr>
      <w:r>
        <w:rPr>
          <w:color w:val="595959" w:themeColor="text1" w:themeTint="A6"/>
        </w:rPr>
        <w:t>#</w:t>
      </w:r>
      <w:r w:rsidRPr="00242481">
        <w:rPr>
          <w:color w:val="595959" w:themeColor="text1" w:themeTint="A6"/>
        </w:rPr>
        <w:t xml:space="preserve"> cigarettes over </w:t>
      </w:r>
      <w:r>
        <w:rPr>
          <w:color w:val="595959" w:themeColor="text1" w:themeTint="A6"/>
        </w:rPr>
        <w:t xml:space="preserve">all </w:t>
      </w:r>
      <w:r w:rsidRPr="00242481">
        <w:rPr>
          <w:color w:val="595959" w:themeColor="text1" w:themeTint="A6"/>
        </w:rPr>
        <w:t>years</w:t>
      </w:r>
      <w:r>
        <w:rPr>
          <w:color w:val="595959" w:themeColor="text1" w:themeTint="A6"/>
        </w:rPr>
        <w:t xml:space="preserve"> of the NYTS</w:t>
      </w:r>
      <w:r w:rsidRPr="00242481">
        <w:rPr>
          <w:color w:val="595959" w:themeColor="text1" w:themeTint="A6"/>
        </w:rPr>
        <w:t>.</w:t>
      </w:r>
    </w:p>
    <w:p w14:paraId="12753C29" w14:textId="77777777" w:rsidR="00437566" w:rsidRDefault="00437566" w:rsidP="00437566">
      <w:pPr>
        <w:pStyle w:val="Code"/>
        <w:rPr>
          <w:b/>
        </w:rPr>
      </w:pPr>
      <w:r w:rsidRPr="005D5240">
        <w:rPr>
          <w:b/>
        </w:rPr>
        <w:t>svyby(~cigev_i, ~year, nyts_svy, svytotal)</w:t>
      </w:r>
    </w:p>
    <w:p w14:paraId="3691A306" w14:textId="77777777" w:rsidR="00437566" w:rsidRPr="00195ED2" w:rsidRDefault="00437566" w:rsidP="00437566">
      <w:pPr>
        <w:pStyle w:val="Code"/>
      </w:pPr>
    </w:p>
    <w:p w14:paraId="0C27E484" w14:textId="77777777" w:rsidR="00437566" w:rsidRPr="00195ED2" w:rsidRDefault="00437566" w:rsidP="00437566">
      <w:pPr>
        <w:rPr>
          <w:highlight w:val="yellow"/>
        </w:rPr>
      </w:pPr>
      <w:r>
        <w:br w:type="textWrapping" w:clear="all"/>
      </w:r>
    </w:p>
    <w:p w14:paraId="6ED2F7FA" w14:textId="77777777" w:rsidR="00437566" w:rsidRDefault="00437566">
      <w:pPr>
        <w:rPr>
          <w:rFonts w:asciiTheme="majorHAnsi" w:eastAsiaTheme="majorEastAsia" w:hAnsiTheme="majorHAnsi" w:cstheme="majorBidi"/>
          <w:b/>
          <w:bCs/>
          <w:color w:val="4F81BD" w:themeColor="accent1"/>
          <w:sz w:val="26"/>
          <w:szCs w:val="26"/>
        </w:rPr>
      </w:pPr>
      <w:r>
        <w:br w:type="page"/>
      </w:r>
    </w:p>
    <w:p w14:paraId="113A5013" w14:textId="53549488" w:rsidR="001D0617" w:rsidRDefault="001F6160" w:rsidP="001F6160">
      <w:pPr>
        <w:pStyle w:val="Heading2"/>
      </w:pPr>
      <w:r>
        <w:t>Stata</w:t>
      </w:r>
    </w:p>
    <w:p w14:paraId="051EACA4" w14:textId="77777777" w:rsidR="00195ED2" w:rsidRPr="00195ED2" w:rsidRDefault="00195ED2" w:rsidP="00195ED2">
      <w:pPr>
        <w:pStyle w:val="Code"/>
        <w:rPr>
          <w:color w:val="595959" w:themeColor="text1" w:themeTint="A6"/>
        </w:rPr>
      </w:pPr>
      <w:r w:rsidRPr="00195ED2">
        <w:rPr>
          <w:color w:val="595959" w:themeColor="text1" w:themeTint="A6"/>
        </w:rPr>
        <w:t>// Load dataset</w:t>
      </w:r>
    </w:p>
    <w:p w14:paraId="04D1CADA" w14:textId="77777777" w:rsidR="00195ED2" w:rsidRPr="00242481" w:rsidRDefault="00195ED2" w:rsidP="00242481">
      <w:pPr>
        <w:pStyle w:val="Code"/>
        <w:shd w:val="clear" w:color="auto" w:fill="FFFFFF" w:themeFill="background1"/>
        <w:tabs>
          <w:tab w:val="left" w:pos="3600"/>
        </w:tabs>
        <w:rPr>
          <w:b/>
        </w:rPr>
      </w:pPr>
      <w:r w:rsidRPr="00195ED2">
        <w:rPr>
          <w:b/>
        </w:rPr>
        <w:t xml:space="preserve">use </w:t>
      </w:r>
      <w:r w:rsidRPr="00CD717E">
        <w:rPr>
          <w:b/>
        </w:rPr>
        <w:t>"</w:t>
      </w:r>
      <w:r w:rsidR="00242481">
        <w:rPr>
          <w:b/>
        </w:rPr>
        <w:t>nytsall_integrated</w:t>
      </w:r>
      <w:r w:rsidR="00DC3111" w:rsidRPr="00CD717E">
        <w:rPr>
          <w:b/>
        </w:rPr>
        <w:t>.dta</w:t>
      </w:r>
      <w:r w:rsidRPr="00CD717E">
        <w:rPr>
          <w:b/>
        </w:rPr>
        <w:t>"</w:t>
      </w:r>
      <w:r w:rsidR="00072EC0" w:rsidRPr="00CD717E">
        <w:rPr>
          <w:b/>
        </w:rPr>
        <w:t>,</w:t>
      </w:r>
      <w:r w:rsidR="00072EC0">
        <w:rPr>
          <w:b/>
        </w:rPr>
        <w:t xml:space="preserve"> clear</w:t>
      </w:r>
    </w:p>
    <w:p w14:paraId="7F5FB44E" w14:textId="77777777" w:rsidR="00242481" w:rsidRPr="00242481" w:rsidRDefault="00242481" w:rsidP="00242481">
      <w:pPr>
        <w:pStyle w:val="Code"/>
        <w:rPr>
          <w:color w:val="595959" w:themeColor="text1" w:themeTint="A6"/>
        </w:rPr>
      </w:pPr>
    </w:p>
    <w:p w14:paraId="15950D7F" w14:textId="77777777" w:rsidR="00242481" w:rsidRPr="00242481" w:rsidRDefault="00242481" w:rsidP="00242481">
      <w:pPr>
        <w:pStyle w:val="Code"/>
        <w:rPr>
          <w:color w:val="595959" w:themeColor="text1" w:themeTint="A6"/>
        </w:rPr>
      </w:pPr>
      <w:r w:rsidRPr="00242481">
        <w:rPr>
          <w:color w:val="595959" w:themeColor="text1" w:themeTint="A6"/>
        </w:rPr>
        <w:t>// When treating each sample as a separate sample in time</w:t>
      </w:r>
    </w:p>
    <w:p w14:paraId="1233900A" w14:textId="77777777" w:rsidR="00393917" w:rsidRDefault="00242481" w:rsidP="00242481">
      <w:pPr>
        <w:pStyle w:val="Code"/>
        <w:rPr>
          <w:color w:val="595959" w:themeColor="text1" w:themeTint="A6"/>
        </w:rPr>
      </w:pPr>
      <w:r w:rsidRPr="00242481">
        <w:rPr>
          <w:color w:val="595959" w:themeColor="text1" w:themeTint="A6"/>
        </w:rPr>
        <w:t xml:space="preserve">// multiply the weight by </w:t>
      </w:r>
      <w:r w:rsidR="00393917">
        <w:rPr>
          <w:color w:val="595959" w:themeColor="text1" w:themeTint="A6"/>
        </w:rPr>
        <w:t xml:space="preserve">population size divided by the </w:t>
      </w:r>
    </w:p>
    <w:p w14:paraId="5F298D5F" w14:textId="77777777" w:rsidR="00393917" w:rsidRDefault="00393917" w:rsidP="00393917">
      <w:pPr>
        <w:pStyle w:val="Code"/>
        <w:rPr>
          <w:color w:val="595959" w:themeColor="text1" w:themeTint="A6"/>
        </w:rPr>
      </w:pPr>
      <w:r>
        <w:rPr>
          <w:color w:val="595959" w:themeColor="text1" w:themeTint="A6"/>
        </w:rPr>
        <w:t xml:space="preserve">// sample size so the sum of the </w:t>
      </w:r>
      <w:r w:rsidR="00242481" w:rsidRPr="00242481">
        <w:rPr>
          <w:color w:val="595959" w:themeColor="text1" w:themeTint="A6"/>
        </w:rPr>
        <w:t>weights i</w:t>
      </w:r>
      <w:r>
        <w:rPr>
          <w:color w:val="595959" w:themeColor="text1" w:themeTint="A6"/>
        </w:rPr>
        <w:t xml:space="preserve">s equal to the </w:t>
      </w:r>
    </w:p>
    <w:p w14:paraId="2324FE44" w14:textId="1018446F" w:rsidR="00B92E41" w:rsidRPr="00242481" w:rsidRDefault="00393917" w:rsidP="00B92E41">
      <w:pPr>
        <w:pStyle w:val="Code"/>
        <w:rPr>
          <w:color w:val="595959" w:themeColor="text1" w:themeTint="A6"/>
        </w:rPr>
      </w:pPr>
      <w:r>
        <w:rPr>
          <w:color w:val="595959" w:themeColor="text1" w:themeTint="A6"/>
        </w:rPr>
        <w:t>// population size.</w:t>
      </w:r>
    </w:p>
    <w:p w14:paraId="14CAD4E2" w14:textId="55546EA1" w:rsidR="00242481" w:rsidRPr="00393917" w:rsidRDefault="00242481" w:rsidP="00242481">
      <w:pPr>
        <w:pStyle w:val="Code"/>
        <w:rPr>
          <w:b/>
        </w:rPr>
      </w:pPr>
      <w:r w:rsidRPr="00393917">
        <w:rPr>
          <w:b/>
        </w:rPr>
        <w:t>gen wtscaled = perwt</w:t>
      </w:r>
      <w:r w:rsidR="00B92E41">
        <w:rPr>
          <w:b/>
        </w:rPr>
        <w:t xml:space="preserve"> / </w:t>
      </w:r>
    </w:p>
    <w:p w14:paraId="445596ED" w14:textId="1F36A57D" w:rsidR="00242481" w:rsidRPr="00393917" w:rsidRDefault="00242481" w:rsidP="00242481">
      <w:pPr>
        <w:pStyle w:val="Code"/>
        <w:rPr>
          <w:b/>
        </w:rPr>
      </w:pPr>
      <w:r w:rsidRPr="00393917">
        <w:rPr>
          <w:b/>
        </w:rPr>
        <w:t xml:space="preserve">replace wtscaled = wtscaled * </w:t>
      </w:r>
      <w:r w:rsidR="009D25FF">
        <w:rPr>
          <w:b/>
        </w:rPr>
        <w:t>25</w:t>
      </w:r>
      <w:r w:rsidR="009D25FF" w:rsidRPr="009D25FF">
        <w:rPr>
          <w:b/>
        </w:rPr>
        <w:t>336606</w:t>
      </w:r>
      <w:r w:rsidR="009D25FF">
        <w:rPr>
          <w:b/>
        </w:rPr>
        <w:t xml:space="preserve"> </w:t>
      </w:r>
      <w:r w:rsidRPr="00393917">
        <w:rPr>
          <w:b/>
        </w:rPr>
        <w:t>/ 15058 if year == 1999</w:t>
      </w:r>
    </w:p>
    <w:p w14:paraId="228BDE1D" w14:textId="0E777087" w:rsidR="00242481" w:rsidRPr="00393917" w:rsidRDefault="00242481" w:rsidP="00242481">
      <w:pPr>
        <w:pStyle w:val="Code"/>
        <w:rPr>
          <w:b/>
        </w:rPr>
      </w:pPr>
      <w:r w:rsidRPr="00393917">
        <w:rPr>
          <w:b/>
        </w:rPr>
        <w:t xml:space="preserve">replace wtscaled = wtscaled * </w:t>
      </w:r>
      <w:r w:rsidR="009D25FF">
        <w:rPr>
          <w:b/>
        </w:rPr>
        <w:t>25</w:t>
      </w:r>
      <w:r w:rsidR="009D25FF" w:rsidRPr="009D25FF">
        <w:rPr>
          <w:b/>
        </w:rPr>
        <w:t>336606</w:t>
      </w:r>
      <w:r w:rsidR="009D25FF">
        <w:rPr>
          <w:b/>
        </w:rPr>
        <w:t xml:space="preserve"> </w:t>
      </w:r>
      <w:r w:rsidRPr="00393917">
        <w:rPr>
          <w:b/>
        </w:rPr>
        <w:t>/ 35828 if year == 2000</w:t>
      </w:r>
    </w:p>
    <w:p w14:paraId="1AE93FC8" w14:textId="77777777" w:rsidR="00B92E41" w:rsidRDefault="00B92E41" w:rsidP="00242481">
      <w:pPr>
        <w:pStyle w:val="Code"/>
        <w:rPr>
          <w:color w:val="595959" w:themeColor="text1" w:themeTint="A6"/>
        </w:rPr>
      </w:pPr>
    </w:p>
    <w:p w14:paraId="5951E579" w14:textId="394E7A24" w:rsidR="00107A84" w:rsidRPr="00107A84" w:rsidRDefault="00107A84" w:rsidP="00242481">
      <w:pPr>
        <w:pStyle w:val="Code"/>
        <w:rPr>
          <w:color w:val="595959" w:themeColor="text1" w:themeTint="A6"/>
        </w:rPr>
      </w:pPr>
      <w:r w:rsidRPr="00107A84">
        <w:rPr>
          <w:color w:val="595959" w:themeColor="text1" w:themeTint="A6"/>
        </w:rPr>
        <w:t>// singleunit command allows for variance estimates when</w:t>
      </w:r>
    </w:p>
    <w:p w14:paraId="294E3B87" w14:textId="2B85F53D" w:rsidR="00107A84" w:rsidRPr="00107A84" w:rsidRDefault="00107A84" w:rsidP="00242481">
      <w:pPr>
        <w:pStyle w:val="Code"/>
        <w:rPr>
          <w:color w:val="595959" w:themeColor="text1" w:themeTint="A6"/>
        </w:rPr>
      </w:pPr>
      <w:r w:rsidRPr="00107A84">
        <w:rPr>
          <w:color w:val="595959" w:themeColor="text1" w:themeTint="A6"/>
        </w:rPr>
        <w:t>// there is only one psu in a stratum. May not be correct</w:t>
      </w:r>
    </w:p>
    <w:p w14:paraId="55940B65" w14:textId="4D1DECF1" w:rsidR="00107A84" w:rsidRPr="00107A84" w:rsidRDefault="00107A84" w:rsidP="00242481">
      <w:pPr>
        <w:pStyle w:val="Code"/>
        <w:rPr>
          <w:color w:val="595959" w:themeColor="text1" w:themeTint="A6"/>
        </w:rPr>
      </w:pPr>
      <w:r w:rsidRPr="00107A84">
        <w:rPr>
          <w:color w:val="595959" w:themeColor="text1" w:themeTint="A6"/>
        </w:rPr>
        <w:t>// for all analyses.</w:t>
      </w:r>
    </w:p>
    <w:p w14:paraId="7D0E6B23" w14:textId="77777777" w:rsidR="00242481" w:rsidRPr="00393917" w:rsidRDefault="00242481" w:rsidP="00242481">
      <w:pPr>
        <w:pStyle w:val="Code"/>
        <w:rPr>
          <w:b/>
        </w:rPr>
      </w:pPr>
      <w:r w:rsidRPr="00393917">
        <w:rPr>
          <w:b/>
        </w:rPr>
        <w:t xml:space="preserve">svyset psunum [pweight = wtscaled], strata(stratanum) /// </w:t>
      </w:r>
    </w:p>
    <w:p w14:paraId="2D311D52" w14:textId="77777777" w:rsidR="00242481" w:rsidRPr="00393917" w:rsidRDefault="00242481" w:rsidP="00242481">
      <w:pPr>
        <w:pStyle w:val="Code"/>
        <w:rPr>
          <w:b/>
        </w:rPr>
      </w:pPr>
      <w:r w:rsidRPr="00393917">
        <w:rPr>
          <w:b/>
        </w:rPr>
        <w:t xml:space="preserve">     singleunit(centered)</w:t>
      </w:r>
    </w:p>
    <w:p w14:paraId="503E9327" w14:textId="77777777" w:rsidR="00242481" w:rsidRPr="00242481" w:rsidRDefault="00242481" w:rsidP="00242481">
      <w:pPr>
        <w:pStyle w:val="Code"/>
        <w:rPr>
          <w:color w:val="595959" w:themeColor="text1" w:themeTint="A6"/>
        </w:rPr>
      </w:pPr>
    </w:p>
    <w:p w14:paraId="0BA01A22" w14:textId="77777777" w:rsidR="00242481" w:rsidRPr="00242481" w:rsidRDefault="00242481" w:rsidP="00242481">
      <w:pPr>
        <w:pStyle w:val="Code"/>
        <w:rPr>
          <w:color w:val="595959" w:themeColor="text1" w:themeTint="A6"/>
        </w:rPr>
      </w:pPr>
      <w:r w:rsidRPr="00242481">
        <w:rPr>
          <w:color w:val="595959" w:themeColor="text1" w:themeTint="A6"/>
        </w:rPr>
        <w:t>// Calculate the total number of students who have ever smoked</w:t>
      </w:r>
    </w:p>
    <w:p w14:paraId="18175176" w14:textId="48A19E37" w:rsidR="00242481" w:rsidRPr="00242481" w:rsidRDefault="00242481" w:rsidP="00242481">
      <w:pPr>
        <w:pStyle w:val="Code"/>
        <w:rPr>
          <w:color w:val="595959" w:themeColor="text1" w:themeTint="A6"/>
        </w:rPr>
      </w:pPr>
      <w:r w:rsidRPr="00242481">
        <w:rPr>
          <w:color w:val="595959" w:themeColor="text1" w:themeTint="A6"/>
        </w:rPr>
        <w:t xml:space="preserve">// cigarettes over </w:t>
      </w:r>
      <w:r w:rsidR="00A73CFC">
        <w:rPr>
          <w:color w:val="595959" w:themeColor="text1" w:themeTint="A6"/>
        </w:rPr>
        <w:t>all years of the NYTS</w:t>
      </w:r>
      <w:r w:rsidRPr="00242481">
        <w:rPr>
          <w:color w:val="595959" w:themeColor="text1" w:themeTint="A6"/>
        </w:rPr>
        <w:t>.</w:t>
      </w:r>
    </w:p>
    <w:p w14:paraId="519CDDCE" w14:textId="77777777" w:rsidR="00D6590A" w:rsidRDefault="00D6590A" w:rsidP="00242481">
      <w:pPr>
        <w:pStyle w:val="Code"/>
        <w:rPr>
          <w:b/>
        </w:rPr>
      </w:pPr>
      <w:r w:rsidRPr="00D6590A">
        <w:rPr>
          <w:b/>
        </w:rPr>
        <w:t>gen cigev_i = cigev == 2</w:t>
      </w:r>
    </w:p>
    <w:p w14:paraId="09F5FBAF" w14:textId="77777777" w:rsidR="005D5240" w:rsidRDefault="005D5240" w:rsidP="00242481">
      <w:pPr>
        <w:pStyle w:val="Code"/>
        <w:rPr>
          <w:b/>
        </w:rPr>
      </w:pPr>
      <w:r>
        <w:rPr>
          <w:b/>
        </w:rPr>
        <w:t>replace cigev_i = . if cigev == 9</w:t>
      </w:r>
    </w:p>
    <w:p w14:paraId="3CC525DE" w14:textId="77777777" w:rsidR="0092603B" w:rsidRDefault="00242481" w:rsidP="00242481">
      <w:pPr>
        <w:pStyle w:val="Code"/>
        <w:rPr>
          <w:b/>
        </w:rPr>
      </w:pPr>
      <w:r w:rsidRPr="00393917">
        <w:rPr>
          <w:b/>
        </w:rPr>
        <w:t xml:space="preserve">svy: total </w:t>
      </w:r>
      <w:r w:rsidR="00B76E79">
        <w:rPr>
          <w:b/>
        </w:rPr>
        <w:t>cigev</w:t>
      </w:r>
      <w:r w:rsidRPr="00393917">
        <w:rPr>
          <w:b/>
        </w:rPr>
        <w:t>, over(year)</w:t>
      </w:r>
    </w:p>
    <w:p w14:paraId="724A7F73" w14:textId="77777777" w:rsidR="00393917" w:rsidRPr="00393917" w:rsidRDefault="00393917" w:rsidP="00242481">
      <w:pPr>
        <w:pStyle w:val="Code"/>
        <w:rPr>
          <w:b/>
        </w:rPr>
      </w:pPr>
    </w:p>
    <w:p w14:paraId="0BD7CD0A" w14:textId="77777777" w:rsidR="00437566" w:rsidRDefault="00437566">
      <w:pPr>
        <w:rPr>
          <w:rFonts w:asciiTheme="majorHAnsi" w:eastAsiaTheme="majorEastAsia" w:hAnsiTheme="majorHAnsi" w:cstheme="majorBidi"/>
          <w:b/>
          <w:bCs/>
          <w:color w:val="4F81BD" w:themeColor="accent1"/>
          <w:sz w:val="26"/>
          <w:szCs w:val="26"/>
        </w:rPr>
      </w:pPr>
      <w:r>
        <w:br w:type="page"/>
      </w:r>
    </w:p>
    <w:p w14:paraId="23C1009E" w14:textId="77777777" w:rsidR="00A27435" w:rsidRPr="009D2EC1" w:rsidRDefault="00A27435" w:rsidP="009D2EC1"/>
    <w:sectPr w:rsidR="00A27435" w:rsidRPr="009D2E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B613C" w14:textId="77777777" w:rsidR="002D51DB" w:rsidRDefault="002D51DB" w:rsidP="005007AE">
      <w:pPr>
        <w:spacing w:after="0" w:line="240" w:lineRule="auto"/>
      </w:pPr>
      <w:r>
        <w:separator/>
      </w:r>
    </w:p>
  </w:endnote>
  <w:endnote w:type="continuationSeparator" w:id="0">
    <w:p w14:paraId="0B80DBDE" w14:textId="77777777" w:rsidR="002D51DB" w:rsidRDefault="002D51DB" w:rsidP="0050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BC020" w14:textId="77777777" w:rsidR="002D51DB" w:rsidRDefault="002D51DB" w:rsidP="005007AE">
      <w:pPr>
        <w:spacing w:after="0" w:line="240" w:lineRule="auto"/>
      </w:pPr>
      <w:r>
        <w:separator/>
      </w:r>
    </w:p>
  </w:footnote>
  <w:footnote w:type="continuationSeparator" w:id="0">
    <w:p w14:paraId="61DCAFD8" w14:textId="77777777" w:rsidR="002D51DB" w:rsidRDefault="002D51DB" w:rsidP="005007AE">
      <w:pPr>
        <w:spacing w:after="0" w:line="240" w:lineRule="auto"/>
      </w:pPr>
      <w:r>
        <w:continuationSeparator/>
      </w:r>
    </w:p>
  </w:footnote>
  <w:footnote w:id="1">
    <w:p w14:paraId="32A2B36F" w14:textId="4D0702EB" w:rsidR="00AA5FB0" w:rsidRDefault="00AA5FB0">
      <w:pPr>
        <w:pStyle w:val="FootnoteText"/>
      </w:pPr>
      <w:r>
        <w:rPr>
          <w:rStyle w:val="FootnoteReference"/>
        </w:rPr>
        <w:footnoteRef/>
      </w:r>
      <w:r>
        <w:t xml:space="preserve"> The "regular" definition excludes special education, vocational, Montessori, private schools with a special emphasis,</w:t>
      </w:r>
      <w:r w:rsidR="002E3F8C">
        <w:t xml:space="preserve"> </w:t>
      </w:r>
      <w:r>
        <w:t>early childhood programs/child care center</w:t>
      </w:r>
      <w:r w:rsidR="002E3F8C">
        <w:t xml:space="preserve"> and</w:t>
      </w:r>
      <w:r>
        <w:t xml:space="preserve"> other/alternative schools. This follows guidance from the 2011 NYTS methodology.</w:t>
      </w:r>
    </w:p>
  </w:footnote>
  <w:footnote w:id="2">
    <w:p w14:paraId="0A049E7D" w14:textId="77777777" w:rsidR="0088763B" w:rsidRDefault="0088763B" w:rsidP="0088763B">
      <w:pPr>
        <w:pStyle w:val="FootnoteText"/>
      </w:pPr>
      <w:r>
        <w:rPr>
          <w:rStyle w:val="FootnoteReference"/>
        </w:rPr>
        <w:footnoteRef/>
      </w:r>
      <w:r>
        <w:t xml:space="preserve"> Please see the 2011 NYTS methodology report for more details on NYTS weight trimming</w:t>
      </w:r>
    </w:p>
  </w:footnote>
  <w:footnote w:id="3">
    <w:p w14:paraId="6E40E48B" w14:textId="77777777" w:rsidR="0088763B" w:rsidRDefault="0088763B" w:rsidP="0088763B">
      <w:pPr>
        <w:pStyle w:val="FootnoteText"/>
      </w:pPr>
      <w:r>
        <w:rPr>
          <w:rStyle w:val="FootnoteReference"/>
        </w:rPr>
        <w:footnoteRef/>
      </w:r>
      <w:r>
        <w:t xml:space="preserve"> Sources: </w:t>
      </w:r>
      <w:r w:rsidRPr="00E53CE3">
        <w:t>Common Core of Data’s Public Elementary/Secondary School Universe Survey Data</w:t>
      </w:r>
      <w:r>
        <w:t xml:space="preserve"> (2009-2010 v.1a) and </w:t>
      </w:r>
      <w:r w:rsidRPr="00E53CE3">
        <w:t>Private School Universe Survey</w:t>
      </w:r>
      <w:r>
        <w:t xml:space="preserve"> (2007-2008)</w:t>
      </w:r>
    </w:p>
  </w:footnote>
  <w:footnote w:id="4">
    <w:p w14:paraId="6965D4C7" w14:textId="77777777" w:rsidR="00A54772" w:rsidRDefault="00A54772" w:rsidP="00A54772">
      <w:pPr>
        <w:pStyle w:val="FootnoteText"/>
      </w:pPr>
      <w:r>
        <w:rPr>
          <w:rStyle w:val="FootnoteReference"/>
        </w:rPr>
        <w:footnoteRef/>
      </w:r>
      <w:r>
        <w:t xml:space="preserve"> Both the total population and the number of students by grade and school-type (public or private) match Table 4-4 of the 2011 NYTS methodology report exactly.</w:t>
      </w:r>
    </w:p>
  </w:footnote>
  <w:footnote w:id="5">
    <w:p w14:paraId="4CCCEBAB" w14:textId="77777777" w:rsidR="00D64552" w:rsidRDefault="00D64552" w:rsidP="00D64552">
      <w:pPr>
        <w:pStyle w:val="FootnoteText"/>
      </w:pPr>
      <w:r>
        <w:rPr>
          <w:rStyle w:val="FootnoteReference"/>
        </w:rPr>
        <w:footnoteRef/>
      </w:r>
      <w:r>
        <w:t xml:space="preserve"> NCES public school data is available every year so the NYTS used the previous year's survey to form the NYTS sample in 2011. Our estimates also use the previous year's data to try to be comparable to how weights were originally calculated.</w:t>
      </w:r>
    </w:p>
  </w:footnote>
  <w:footnote w:id="6">
    <w:p w14:paraId="6C79EF96" w14:textId="77777777" w:rsidR="00D64552" w:rsidRDefault="00D64552" w:rsidP="00D64552">
      <w:pPr>
        <w:pStyle w:val="FootnoteText"/>
      </w:pPr>
      <w:r>
        <w:rPr>
          <w:rStyle w:val="FootnoteReference"/>
        </w:rPr>
        <w:footnoteRef/>
      </w:r>
      <w:r>
        <w:t xml:space="preserve"> NCES private school data is available every other year.</w:t>
      </w:r>
    </w:p>
  </w:footnote>
  <w:footnote w:id="7">
    <w:p w14:paraId="056A1D15" w14:textId="5E72D5D7" w:rsidR="00D64552" w:rsidRDefault="00D64552">
      <w:pPr>
        <w:pStyle w:val="FootnoteText"/>
      </w:pPr>
      <w:r>
        <w:rPr>
          <w:rStyle w:val="FootnoteReference"/>
        </w:rPr>
        <w:footnoteRef/>
      </w:r>
      <w:r>
        <w:t xml:space="preserve"> By using NCES data directly, analysts may choose to use the NCES data that corresponds to the year of the NYTS, rather than the preceding year. Detailed information on calculating the population from the NCES datasets is available in the 2011 NYTS methodology report.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0D"/>
    <w:rsid w:val="00005CC6"/>
    <w:rsid w:val="00005FB6"/>
    <w:rsid w:val="00011A04"/>
    <w:rsid w:val="00012580"/>
    <w:rsid w:val="00012E44"/>
    <w:rsid w:val="000310FD"/>
    <w:rsid w:val="00034BB1"/>
    <w:rsid w:val="000418DB"/>
    <w:rsid w:val="00046A35"/>
    <w:rsid w:val="00046B57"/>
    <w:rsid w:val="000525CA"/>
    <w:rsid w:val="00054C25"/>
    <w:rsid w:val="00054D0B"/>
    <w:rsid w:val="00063855"/>
    <w:rsid w:val="00063F99"/>
    <w:rsid w:val="0006568C"/>
    <w:rsid w:val="00072EC0"/>
    <w:rsid w:val="00073AD7"/>
    <w:rsid w:val="00093C9F"/>
    <w:rsid w:val="00093EF7"/>
    <w:rsid w:val="000951D1"/>
    <w:rsid w:val="000B0DEC"/>
    <w:rsid w:val="000B5974"/>
    <w:rsid w:val="000C6952"/>
    <w:rsid w:val="000D7A69"/>
    <w:rsid w:val="000E0C9E"/>
    <w:rsid w:val="000E4EAF"/>
    <w:rsid w:val="000F55A0"/>
    <w:rsid w:val="000F628A"/>
    <w:rsid w:val="000F6F72"/>
    <w:rsid w:val="00105425"/>
    <w:rsid w:val="00107915"/>
    <w:rsid w:val="00107A84"/>
    <w:rsid w:val="00112F74"/>
    <w:rsid w:val="00113258"/>
    <w:rsid w:val="001138C9"/>
    <w:rsid w:val="00120D83"/>
    <w:rsid w:val="00123931"/>
    <w:rsid w:val="00145D96"/>
    <w:rsid w:val="0014727E"/>
    <w:rsid w:val="00161F26"/>
    <w:rsid w:val="0016483D"/>
    <w:rsid w:val="00171F3F"/>
    <w:rsid w:val="00182C66"/>
    <w:rsid w:val="00184F12"/>
    <w:rsid w:val="00186318"/>
    <w:rsid w:val="00194FC8"/>
    <w:rsid w:val="00195ED2"/>
    <w:rsid w:val="001A5B95"/>
    <w:rsid w:val="001B4D99"/>
    <w:rsid w:val="001B58F5"/>
    <w:rsid w:val="001B7814"/>
    <w:rsid w:val="001C6CC2"/>
    <w:rsid w:val="001D0617"/>
    <w:rsid w:val="001E2522"/>
    <w:rsid w:val="001F5C51"/>
    <w:rsid w:val="001F6160"/>
    <w:rsid w:val="0020385E"/>
    <w:rsid w:val="002040B3"/>
    <w:rsid w:val="002049EC"/>
    <w:rsid w:val="00205AE4"/>
    <w:rsid w:val="00206DCD"/>
    <w:rsid w:val="00211F55"/>
    <w:rsid w:val="00225271"/>
    <w:rsid w:val="00225D09"/>
    <w:rsid w:val="0023060D"/>
    <w:rsid w:val="002351C7"/>
    <w:rsid w:val="00242481"/>
    <w:rsid w:val="0026114B"/>
    <w:rsid w:val="00264210"/>
    <w:rsid w:val="00282F3B"/>
    <w:rsid w:val="00283452"/>
    <w:rsid w:val="00291DFA"/>
    <w:rsid w:val="00296ED6"/>
    <w:rsid w:val="002A38EA"/>
    <w:rsid w:val="002B7CCD"/>
    <w:rsid w:val="002C09D4"/>
    <w:rsid w:val="002C28D2"/>
    <w:rsid w:val="002C5339"/>
    <w:rsid w:val="002D51DB"/>
    <w:rsid w:val="002D5277"/>
    <w:rsid w:val="002D5F57"/>
    <w:rsid w:val="002E3F8C"/>
    <w:rsid w:val="0030156C"/>
    <w:rsid w:val="00302D2B"/>
    <w:rsid w:val="00304D95"/>
    <w:rsid w:val="00313B3F"/>
    <w:rsid w:val="0032472A"/>
    <w:rsid w:val="0036046C"/>
    <w:rsid w:val="00374D65"/>
    <w:rsid w:val="00385852"/>
    <w:rsid w:val="00393917"/>
    <w:rsid w:val="00394DED"/>
    <w:rsid w:val="00397AA2"/>
    <w:rsid w:val="003A6296"/>
    <w:rsid w:val="003B0F47"/>
    <w:rsid w:val="003E41E2"/>
    <w:rsid w:val="003F7347"/>
    <w:rsid w:val="0040020B"/>
    <w:rsid w:val="00405807"/>
    <w:rsid w:val="00422F96"/>
    <w:rsid w:val="00437566"/>
    <w:rsid w:val="004561FF"/>
    <w:rsid w:val="004620DF"/>
    <w:rsid w:val="004625B7"/>
    <w:rsid w:val="004625DB"/>
    <w:rsid w:val="0047736B"/>
    <w:rsid w:val="00492E9B"/>
    <w:rsid w:val="00497FB5"/>
    <w:rsid w:val="004A3CAF"/>
    <w:rsid w:val="004B7142"/>
    <w:rsid w:val="004D784A"/>
    <w:rsid w:val="004E3F07"/>
    <w:rsid w:val="004F2B8B"/>
    <w:rsid w:val="005007AE"/>
    <w:rsid w:val="005108F3"/>
    <w:rsid w:val="00522711"/>
    <w:rsid w:val="00524942"/>
    <w:rsid w:val="00525D37"/>
    <w:rsid w:val="00530437"/>
    <w:rsid w:val="00541D8A"/>
    <w:rsid w:val="0054558D"/>
    <w:rsid w:val="00546786"/>
    <w:rsid w:val="00551E62"/>
    <w:rsid w:val="005635AB"/>
    <w:rsid w:val="0056541A"/>
    <w:rsid w:val="005662C9"/>
    <w:rsid w:val="005A2033"/>
    <w:rsid w:val="005A2F63"/>
    <w:rsid w:val="005A333D"/>
    <w:rsid w:val="005A3788"/>
    <w:rsid w:val="005A67C5"/>
    <w:rsid w:val="005B132F"/>
    <w:rsid w:val="005B2CAB"/>
    <w:rsid w:val="005B377E"/>
    <w:rsid w:val="005D48CD"/>
    <w:rsid w:val="005D5240"/>
    <w:rsid w:val="005E2419"/>
    <w:rsid w:val="005F7CA7"/>
    <w:rsid w:val="0060000F"/>
    <w:rsid w:val="00602D9A"/>
    <w:rsid w:val="00603E37"/>
    <w:rsid w:val="006043D1"/>
    <w:rsid w:val="00614BBD"/>
    <w:rsid w:val="0061668A"/>
    <w:rsid w:val="0062009C"/>
    <w:rsid w:val="00630AF4"/>
    <w:rsid w:val="006321DF"/>
    <w:rsid w:val="00634F3E"/>
    <w:rsid w:val="00652BDA"/>
    <w:rsid w:val="00657B7B"/>
    <w:rsid w:val="00667E2C"/>
    <w:rsid w:val="0067604D"/>
    <w:rsid w:val="006777A9"/>
    <w:rsid w:val="00692190"/>
    <w:rsid w:val="0069565E"/>
    <w:rsid w:val="006A3B2E"/>
    <w:rsid w:val="006A4D27"/>
    <w:rsid w:val="006B09C6"/>
    <w:rsid w:val="006C49D6"/>
    <w:rsid w:val="006D6D53"/>
    <w:rsid w:val="006F1335"/>
    <w:rsid w:val="006F5E5F"/>
    <w:rsid w:val="00702737"/>
    <w:rsid w:val="00703309"/>
    <w:rsid w:val="00707416"/>
    <w:rsid w:val="00716A55"/>
    <w:rsid w:val="00736014"/>
    <w:rsid w:val="00736E4D"/>
    <w:rsid w:val="00742433"/>
    <w:rsid w:val="00747839"/>
    <w:rsid w:val="00755E32"/>
    <w:rsid w:val="00760CFF"/>
    <w:rsid w:val="00766E47"/>
    <w:rsid w:val="00770560"/>
    <w:rsid w:val="00770B2B"/>
    <w:rsid w:val="00770BBD"/>
    <w:rsid w:val="00783F23"/>
    <w:rsid w:val="007B200D"/>
    <w:rsid w:val="007B3864"/>
    <w:rsid w:val="007C18CC"/>
    <w:rsid w:val="007C461F"/>
    <w:rsid w:val="007D739D"/>
    <w:rsid w:val="007F2566"/>
    <w:rsid w:val="00801895"/>
    <w:rsid w:val="0080579A"/>
    <w:rsid w:val="00814B39"/>
    <w:rsid w:val="0081640B"/>
    <w:rsid w:val="00827494"/>
    <w:rsid w:val="0083428A"/>
    <w:rsid w:val="00850A3F"/>
    <w:rsid w:val="00861060"/>
    <w:rsid w:val="008612A7"/>
    <w:rsid w:val="00865E4E"/>
    <w:rsid w:val="00870776"/>
    <w:rsid w:val="00870ED1"/>
    <w:rsid w:val="008751C4"/>
    <w:rsid w:val="0088484C"/>
    <w:rsid w:val="0088763B"/>
    <w:rsid w:val="0089638C"/>
    <w:rsid w:val="008A6EAC"/>
    <w:rsid w:val="008B28F9"/>
    <w:rsid w:val="008C270B"/>
    <w:rsid w:val="008C2ED9"/>
    <w:rsid w:val="008C459C"/>
    <w:rsid w:val="008C4EBE"/>
    <w:rsid w:val="008C70DE"/>
    <w:rsid w:val="008D6410"/>
    <w:rsid w:val="008E09A0"/>
    <w:rsid w:val="008E76FD"/>
    <w:rsid w:val="008F5B3B"/>
    <w:rsid w:val="009122E4"/>
    <w:rsid w:val="00913AA1"/>
    <w:rsid w:val="0092603B"/>
    <w:rsid w:val="0093488B"/>
    <w:rsid w:val="00934922"/>
    <w:rsid w:val="00936EF0"/>
    <w:rsid w:val="00937093"/>
    <w:rsid w:val="0096129B"/>
    <w:rsid w:val="00977DF9"/>
    <w:rsid w:val="00977EFE"/>
    <w:rsid w:val="0098296F"/>
    <w:rsid w:val="009A682B"/>
    <w:rsid w:val="009A6970"/>
    <w:rsid w:val="009B0FA3"/>
    <w:rsid w:val="009B5845"/>
    <w:rsid w:val="009C73D4"/>
    <w:rsid w:val="009D05AA"/>
    <w:rsid w:val="009D0669"/>
    <w:rsid w:val="009D25FF"/>
    <w:rsid w:val="009D2EC1"/>
    <w:rsid w:val="009E6412"/>
    <w:rsid w:val="009F44E1"/>
    <w:rsid w:val="00A02A38"/>
    <w:rsid w:val="00A11AA0"/>
    <w:rsid w:val="00A1567D"/>
    <w:rsid w:val="00A27435"/>
    <w:rsid w:val="00A35BC1"/>
    <w:rsid w:val="00A52143"/>
    <w:rsid w:val="00A54772"/>
    <w:rsid w:val="00A57F4A"/>
    <w:rsid w:val="00A63A6D"/>
    <w:rsid w:val="00A73CFC"/>
    <w:rsid w:val="00A757B0"/>
    <w:rsid w:val="00A828BF"/>
    <w:rsid w:val="00A8784B"/>
    <w:rsid w:val="00A9594E"/>
    <w:rsid w:val="00AA34B7"/>
    <w:rsid w:val="00AA5FB0"/>
    <w:rsid w:val="00AA763D"/>
    <w:rsid w:val="00AB1BCE"/>
    <w:rsid w:val="00AB3948"/>
    <w:rsid w:val="00AB51A9"/>
    <w:rsid w:val="00AC453F"/>
    <w:rsid w:val="00AC62C4"/>
    <w:rsid w:val="00AC753F"/>
    <w:rsid w:val="00AD3822"/>
    <w:rsid w:val="00AE71DA"/>
    <w:rsid w:val="00AF4C24"/>
    <w:rsid w:val="00B01D95"/>
    <w:rsid w:val="00B01E73"/>
    <w:rsid w:val="00B1502D"/>
    <w:rsid w:val="00B432D7"/>
    <w:rsid w:val="00B43F33"/>
    <w:rsid w:val="00B4446D"/>
    <w:rsid w:val="00B5198B"/>
    <w:rsid w:val="00B62C80"/>
    <w:rsid w:val="00B66BF7"/>
    <w:rsid w:val="00B76E79"/>
    <w:rsid w:val="00B818B7"/>
    <w:rsid w:val="00B85C6E"/>
    <w:rsid w:val="00B92E41"/>
    <w:rsid w:val="00BA1BC9"/>
    <w:rsid w:val="00BA59FD"/>
    <w:rsid w:val="00BA7410"/>
    <w:rsid w:val="00BB40DA"/>
    <w:rsid w:val="00BB75B8"/>
    <w:rsid w:val="00BC3011"/>
    <w:rsid w:val="00BD1983"/>
    <w:rsid w:val="00BE0F99"/>
    <w:rsid w:val="00BE2E29"/>
    <w:rsid w:val="00BF2426"/>
    <w:rsid w:val="00BF5B1A"/>
    <w:rsid w:val="00C00CE5"/>
    <w:rsid w:val="00C06298"/>
    <w:rsid w:val="00C06EE9"/>
    <w:rsid w:val="00C17ECD"/>
    <w:rsid w:val="00C31DBC"/>
    <w:rsid w:val="00C434FA"/>
    <w:rsid w:val="00C5177A"/>
    <w:rsid w:val="00C526D1"/>
    <w:rsid w:val="00C557C2"/>
    <w:rsid w:val="00C67807"/>
    <w:rsid w:val="00C72AD0"/>
    <w:rsid w:val="00C853BA"/>
    <w:rsid w:val="00C969B7"/>
    <w:rsid w:val="00C96C75"/>
    <w:rsid w:val="00CB2F58"/>
    <w:rsid w:val="00CC20CE"/>
    <w:rsid w:val="00CC4703"/>
    <w:rsid w:val="00CD717E"/>
    <w:rsid w:val="00D16F8E"/>
    <w:rsid w:val="00D27C3F"/>
    <w:rsid w:val="00D44F41"/>
    <w:rsid w:val="00D5285D"/>
    <w:rsid w:val="00D56089"/>
    <w:rsid w:val="00D63BB5"/>
    <w:rsid w:val="00D64552"/>
    <w:rsid w:val="00D64ED9"/>
    <w:rsid w:val="00D64F55"/>
    <w:rsid w:val="00D6590A"/>
    <w:rsid w:val="00D70227"/>
    <w:rsid w:val="00D964A1"/>
    <w:rsid w:val="00DA4425"/>
    <w:rsid w:val="00DA66B7"/>
    <w:rsid w:val="00DB1EAF"/>
    <w:rsid w:val="00DC3111"/>
    <w:rsid w:val="00DC3DCA"/>
    <w:rsid w:val="00DC7BB0"/>
    <w:rsid w:val="00DD265A"/>
    <w:rsid w:val="00DD40E4"/>
    <w:rsid w:val="00DF59CC"/>
    <w:rsid w:val="00E316CC"/>
    <w:rsid w:val="00E43945"/>
    <w:rsid w:val="00E50C0D"/>
    <w:rsid w:val="00E536FD"/>
    <w:rsid w:val="00E53CE3"/>
    <w:rsid w:val="00E61D07"/>
    <w:rsid w:val="00E70F02"/>
    <w:rsid w:val="00E83769"/>
    <w:rsid w:val="00E90A7E"/>
    <w:rsid w:val="00E910A9"/>
    <w:rsid w:val="00E917FD"/>
    <w:rsid w:val="00E94782"/>
    <w:rsid w:val="00EA185E"/>
    <w:rsid w:val="00EB02C6"/>
    <w:rsid w:val="00EB06BE"/>
    <w:rsid w:val="00EC07E4"/>
    <w:rsid w:val="00EC0DCB"/>
    <w:rsid w:val="00ED23CC"/>
    <w:rsid w:val="00EE0F46"/>
    <w:rsid w:val="00EE55D6"/>
    <w:rsid w:val="00EE79E5"/>
    <w:rsid w:val="00EF43BB"/>
    <w:rsid w:val="00F176D1"/>
    <w:rsid w:val="00F21F31"/>
    <w:rsid w:val="00F255B0"/>
    <w:rsid w:val="00F371E9"/>
    <w:rsid w:val="00F37B19"/>
    <w:rsid w:val="00F479F8"/>
    <w:rsid w:val="00F5325C"/>
    <w:rsid w:val="00F54E38"/>
    <w:rsid w:val="00F57883"/>
    <w:rsid w:val="00F60B9B"/>
    <w:rsid w:val="00F61A40"/>
    <w:rsid w:val="00F645A3"/>
    <w:rsid w:val="00F715DE"/>
    <w:rsid w:val="00F76EC8"/>
    <w:rsid w:val="00F8641D"/>
    <w:rsid w:val="00F947B0"/>
    <w:rsid w:val="00FB498A"/>
    <w:rsid w:val="00FC05A9"/>
    <w:rsid w:val="00FC35CD"/>
    <w:rsid w:val="00FC7974"/>
    <w:rsid w:val="00FD4EF6"/>
    <w:rsid w:val="00FE16B4"/>
    <w:rsid w:val="00FE1C5A"/>
    <w:rsid w:val="00FE7620"/>
    <w:rsid w:val="00FF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EB8F"/>
  <w15:docId w15:val="{1259568B-79C9-4979-89F2-2AF1CF68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0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6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06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06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306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16CC"/>
    <w:rPr>
      <w:rFonts w:asciiTheme="majorHAnsi" w:eastAsiaTheme="majorEastAsia" w:hAnsiTheme="majorHAnsi" w:cstheme="majorBidi"/>
      <w:b/>
      <w:bCs/>
      <w:color w:val="4F81BD" w:themeColor="accent1"/>
      <w:sz w:val="26"/>
      <w:szCs w:val="26"/>
    </w:rPr>
  </w:style>
  <w:style w:type="table" w:styleId="LightShading">
    <w:name w:val="Light Shading"/>
    <w:basedOn w:val="TableNormal"/>
    <w:uiPriority w:val="60"/>
    <w:rsid w:val="00E53C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1D0617"/>
    <w:rPr>
      <w:i/>
      <w:iCs/>
    </w:rPr>
  </w:style>
  <w:style w:type="paragraph" w:customStyle="1" w:styleId="Code">
    <w:name w:val="Code"/>
    <w:basedOn w:val="Normal"/>
    <w:link w:val="CodeChar"/>
    <w:qFormat/>
    <w:rsid w:val="00195ED2"/>
    <w:pPr>
      <w:pBdr>
        <w:top w:val="single" w:sz="4" w:space="1" w:color="auto"/>
        <w:left w:val="single" w:sz="4" w:space="4" w:color="auto"/>
        <w:bottom w:val="single" w:sz="4" w:space="1" w:color="auto"/>
        <w:right w:val="single" w:sz="4" w:space="4" w:color="auto"/>
      </w:pBdr>
      <w:spacing w:after="0" w:line="240" w:lineRule="auto"/>
      <w:ind w:left="288" w:right="288"/>
    </w:pPr>
    <w:rPr>
      <w:rFonts w:ascii="Consolas" w:hAnsi="Consolas" w:cs="Consolas"/>
      <w:sz w:val="24"/>
    </w:rPr>
  </w:style>
  <w:style w:type="character" w:customStyle="1" w:styleId="CodeChar">
    <w:name w:val="Code Char"/>
    <w:basedOn w:val="DefaultParagraphFont"/>
    <w:link w:val="Code"/>
    <w:rsid w:val="00195ED2"/>
    <w:rPr>
      <w:rFonts w:ascii="Consolas" w:hAnsi="Consolas" w:cs="Consolas"/>
      <w:sz w:val="24"/>
    </w:rPr>
  </w:style>
  <w:style w:type="character" w:styleId="CommentReference">
    <w:name w:val="annotation reference"/>
    <w:basedOn w:val="DefaultParagraphFont"/>
    <w:uiPriority w:val="99"/>
    <w:semiHidden/>
    <w:unhideWhenUsed/>
    <w:rsid w:val="00242481"/>
    <w:rPr>
      <w:sz w:val="16"/>
      <w:szCs w:val="16"/>
    </w:rPr>
  </w:style>
  <w:style w:type="paragraph" w:styleId="CommentText">
    <w:name w:val="annotation text"/>
    <w:basedOn w:val="Normal"/>
    <w:link w:val="CommentTextChar"/>
    <w:uiPriority w:val="99"/>
    <w:semiHidden/>
    <w:unhideWhenUsed/>
    <w:rsid w:val="00242481"/>
    <w:pPr>
      <w:spacing w:line="240" w:lineRule="auto"/>
    </w:pPr>
    <w:rPr>
      <w:sz w:val="20"/>
      <w:szCs w:val="20"/>
    </w:rPr>
  </w:style>
  <w:style w:type="character" w:customStyle="1" w:styleId="CommentTextChar">
    <w:name w:val="Comment Text Char"/>
    <w:basedOn w:val="DefaultParagraphFont"/>
    <w:link w:val="CommentText"/>
    <w:uiPriority w:val="99"/>
    <w:semiHidden/>
    <w:rsid w:val="00242481"/>
    <w:rPr>
      <w:sz w:val="20"/>
      <w:szCs w:val="20"/>
    </w:rPr>
  </w:style>
  <w:style w:type="paragraph" w:styleId="CommentSubject">
    <w:name w:val="annotation subject"/>
    <w:basedOn w:val="CommentText"/>
    <w:next w:val="CommentText"/>
    <w:link w:val="CommentSubjectChar"/>
    <w:uiPriority w:val="99"/>
    <w:semiHidden/>
    <w:unhideWhenUsed/>
    <w:rsid w:val="00242481"/>
    <w:rPr>
      <w:b/>
      <w:bCs/>
    </w:rPr>
  </w:style>
  <w:style w:type="character" w:customStyle="1" w:styleId="CommentSubjectChar">
    <w:name w:val="Comment Subject Char"/>
    <w:basedOn w:val="CommentTextChar"/>
    <w:link w:val="CommentSubject"/>
    <w:uiPriority w:val="99"/>
    <w:semiHidden/>
    <w:rsid w:val="00242481"/>
    <w:rPr>
      <w:b/>
      <w:bCs/>
      <w:sz w:val="20"/>
      <w:szCs w:val="20"/>
    </w:rPr>
  </w:style>
  <w:style w:type="paragraph" w:styleId="BalloonText">
    <w:name w:val="Balloon Text"/>
    <w:basedOn w:val="Normal"/>
    <w:link w:val="BalloonTextChar"/>
    <w:uiPriority w:val="99"/>
    <w:semiHidden/>
    <w:unhideWhenUsed/>
    <w:rsid w:val="00242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81"/>
    <w:rPr>
      <w:rFonts w:ascii="Tahoma" w:hAnsi="Tahoma" w:cs="Tahoma"/>
      <w:sz w:val="16"/>
      <w:szCs w:val="16"/>
    </w:rPr>
  </w:style>
  <w:style w:type="paragraph" w:styleId="FootnoteText">
    <w:name w:val="footnote text"/>
    <w:basedOn w:val="Normal"/>
    <w:link w:val="FootnoteTextChar"/>
    <w:uiPriority w:val="99"/>
    <w:semiHidden/>
    <w:unhideWhenUsed/>
    <w:rsid w:val="005007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7AE"/>
    <w:rPr>
      <w:sz w:val="20"/>
      <w:szCs w:val="20"/>
    </w:rPr>
  </w:style>
  <w:style w:type="character" w:styleId="FootnoteReference">
    <w:name w:val="footnote reference"/>
    <w:basedOn w:val="DefaultParagraphFont"/>
    <w:uiPriority w:val="99"/>
    <w:semiHidden/>
    <w:unhideWhenUsed/>
    <w:rsid w:val="00500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30879">
      <w:bodyDiv w:val="1"/>
      <w:marLeft w:val="0"/>
      <w:marRight w:val="0"/>
      <w:marTop w:val="0"/>
      <w:marBottom w:val="0"/>
      <w:divBdr>
        <w:top w:val="none" w:sz="0" w:space="0" w:color="auto"/>
        <w:left w:val="none" w:sz="0" w:space="0" w:color="auto"/>
        <w:bottom w:val="none" w:sz="0" w:space="0" w:color="auto"/>
        <w:right w:val="none" w:sz="0" w:space="0" w:color="auto"/>
      </w:divBdr>
    </w:div>
    <w:div w:id="1788041382">
      <w:bodyDiv w:val="1"/>
      <w:marLeft w:val="0"/>
      <w:marRight w:val="0"/>
      <w:marTop w:val="0"/>
      <w:marBottom w:val="0"/>
      <w:divBdr>
        <w:top w:val="none" w:sz="0" w:space="0" w:color="auto"/>
        <w:left w:val="none" w:sz="0" w:space="0" w:color="auto"/>
        <w:bottom w:val="none" w:sz="0" w:space="0" w:color="auto"/>
        <w:right w:val="none" w:sz="0" w:space="0" w:color="auto"/>
      </w:divBdr>
    </w:div>
    <w:div w:id="1888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A98C-B8DA-4FFB-9652-388FF1B3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 Freedman Ellis</dc:creator>
  <cp:lastModifiedBy>Kari C Williams</cp:lastModifiedBy>
  <cp:revision>2</cp:revision>
  <dcterms:created xsi:type="dcterms:W3CDTF">2016-10-27T16:15:00Z</dcterms:created>
  <dcterms:modified xsi:type="dcterms:W3CDTF">2016-10-27T16:15:00Z</dcterms:modified>
</cp:coreProperties>
</file>